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5F3BF2A2" w14:textId="77777777" w:rsidR="00C45229" w:rsidRPr="00C45229" w:rsidRDefault="00C45229" w:rsidP="00C45229">
      <w:pPr>
        <w:spacing w:line="360" w:lineRule="auto"/>
        <w:rPr>
          <w:rFonts w:eastAsiaTheme="minorEastAsia" w:cstheme="minorBidi"/>
          <w:b/>
          <w:sz w:val="24"/>
          <w:szCs w:val="21"/>
          <w:lang w:val="pt-BR"/>
        </w:rPr>
      </w:pPr>
      <w:r w:rsidRPr="00C45229">
        <w:rPr>
          <w:rFonts w:eastAsiaTheme="minorEastAsia" w:cstheme="minorBidi"/>
          <w:b/>
          <w:sz w:val="24"/>
          <w:szCs w:val="21"/>
          <w:lang w:val="pt-BR"/>
        </w:rPr>
        <w:t>A GEMÜ apresenta CONEXO 2025 – a nova era do gerenciamento digital de instalações</w:t>
      </w:r>
    </w:p>
    <w:p w14:paraId="2311A9C4" w14:textId="77777777" w:rsidR="00C45229" w:rsidRPr="00C45229" w:rsidRDefault="00C45229" w:rsidP="00C45229">
      <w:pPr>
        <w:spacing w:line="360" w:lineRule="auto"/>
        <w:rPr>
          <w:b/>
          <w:bCs/>
          <w:sz w:val="22"/>
          <w:szCs w:val="28"/>
          <w:lang w:val="pt-BR"/>
        </w:rPr>
      </w:pPr>
    </w:p>
    <w:p w14:paraId="19D8243E" w14:textId="77777777" w:rsidR="00C45229" w:rsidRDefault="00C45229" w:rsidP="00C45229">
      <w:pPr>
        <w:spacing w:line="360" w:lineRule="auto"/>
        <w:rPr>
          <w:rFonts w:eastAsiaTheme="minorEastAsia" w:cstheme="minorBidi"/>
          <w:b/>
          <w:lang w:val="pt-BR"/>
        </w:rPr>
      </w:pPr>
      <w:r>
        <w:rPr>
          <w:rFonts w:eastAsiaTheme="minorEastAsia" w:cstheme="minorBidi"/>
          <w:b/>
          <w:lang w:val="pt-BR"/>
        </w:rPr>
        <w:t>Com a CONEXO 2025, o Grupo GEMÜ, especialista em tecnologia de válvulas, medição e controle, apresenta a próxima geração de sua solução digital para o gerenciamento do ciclo de vida de instalações independente do fabricante. A nova versão estabelece padrões na identificação e gerenciamento digitais de componentes, criando transparência contínua em todo o ciclo de vida, desde a colocação em funcionamento até o descarte.</w:t>
      </w:r>
    </w:p>
    <w:p w14:paraId="5DD3EAC0" w14:textId="77777777" w:rsidR="00C45229" w:rsidRPr="00C45229" w:rsidRDefault="00C45229" w:rsidP="00C45229">
      <w:pPr>
        <w:spacing w:line="360" w:lineRule="auto"/>
        <w:rPr>
          <w:b/>
          <w:bCs/>
          <w:lang w:val="pt-BR"/>
        </w:rPr>
      </w:pPr>
    </w:p>
    <w:p w14:paraId="13F32DE0" w14:textId="77777777" w:rsidR="00C45229" w:rsidRPr="00C45229" w:rsidRDefault="00C45229" w:rsidP="00C45229">
      <w:pPr>
        <w:spacing w:line="360" w:lineRule="auto"/>
        <w:rPr>
          <w:lang w:val="pt-BR"/>
        </w:rPr>
      </w:pPr>
      <w:r>
        <w:rPr>
          <w:rFonts w:eastAsiaTheme="minorEastAsia" w:cstheme="minorBidi"/>
          <w:lang w:val="pt-BR"/>
        </w:rPr>
        <w:t>Por meio de tecnologias modernas como RFID, QR-</w:t>
      </w:r>
      <w:proofErr w:type="spellStart"/>
      <w:r>
        <w:rPr>
          <w:rFonts w:eastAsiaTheme="minorEastAsia" w:cstheme="minorBidi"/>
          <w:lang w:val="pt-BR"/>
        </w:rPr>
        <w:t>Code</w:t>
      </w:r>
      <w:proofErr w:type="spellEnd"/>
      <w:r>
        <w:rPr>
          <w:rFonts w:eastAsiaTheme="minorEastAsia" w:cstheme="minorBidi"/>
          <w:lang w:val="pt-BR"/>
        </w:rPr>
        <w:t xml:space="preserve"> e </w:t>
      </w:r>
      <w:proofErr w:type="spellStart"/>
      <w:r>
        <w:rPr>
          <w:rFonts w:eastAsiaTheme="minorEastAsia" w:cstheme="minorBidi"/>
          <w:lang w:val="pt-BR"/>
        </w:rPr>
        <w:t>DataMatrix</w:t>
      </w:r>
      <w:proofErr w:type="spellEnd"/>
      <w:r>
        <w:rPr>
          <w:rFonts w:eastAsiaTheme="minorEastAsia" w:cstheme="minorBidi"/>
          <w:lang w:val="pt-BR"/>
        </w:rPr>
        <w:t>, a CONEXO 2025 permite a identificação inequívoca de componentes diretamente na instalação e os vincula a dados digitais do produto, informações de manutenção e status de obsolescência.</w:t>
      </w:r>
    </w:p>
    <w:p w14:paraId="7333AB8F" w14:textId="4022B7B2" w:rsidR="00C45229" w:rsidRDefault="00C45229" w:rsidP="00C45229">
      <w:pPr>
        <w:spacing w:line="360" w:lineRule="auto"/>
        <w:rPr>
          <w:rFonts w:eastAsiaTheme="minorEastAsia" w:cstheme="minorBidi"/>
          <w:lang w:val="pt-BR"/>
        </w:rPr>
      </w:pPr>
      <w:r>
        <w:rPr>
          <w:rFonts w:eastAsiaTheme="minorEastAsia" w:cstheme="minorBidi"/>
          <w:lang w:val="pt-BR"/>
        </w:rPr>
        <w:t>Basta uma simples digitalização para conceder aos técnicos de assistência técnica acesso instantâneo a documentos relevantes, certificados, históricos de manutenção e tarefas pendentes.</w:t>
      </w:r>
    </w:p>
    <w:p w14:paraId="5D7CEF5C" w14:textId="77777777" w:rsidR="00C45229" w:rsidRPr="00C45229" w:rsidRDefault="00C45229" w:rsidP="00C45229">
      <w:pPr>
        <w:spacing w:line="360" w:lineRule="auto"/>
        <w:rPr>
          <w:lang w:val="pt-BR"/>
        </w:rPr>
      </w:pPr>
    </w:p>
    <w:p w14:paraId="20498E34" w14:textId="77777777" w:rsidR="00C45229" w:rsidRPr="00C45229" w:rsidRDefault="00C45229" w:rsidP="00C45229">
      <w:pPr>
        <w:spacing w:line="360" w:lineRule="auto"/>
        <w:rPr>
          <w:b/>
          <w:bCs/>
          <w:lang w:val="pt-BR"/>
        </w:rPr>
      </w:pPr>
      <w:r>
        <w:rPr>
          <w:rFonts w:eastAsiaTheme="minorEastAsia" w:cstheme="minorBidi"/>
          <w:b/>
          <w:lang w:val="pt-BR"/>
        </w:rPr>
        <w:t>Aberta. Baseada em padrões. Preparada para o futuro.</w:t>
      </w:r>
    </w:p>
    <w:p w14:paraId="40E1211B" w14:textId="77777777" w:rsidR="00C45229" w:rsidRDefault="00C45229" w:rsidP="00C45229">
      <w:pPr>
        <w:spacing w:line="360" w:lineRule="auto"/>
        <w:rPr>
          <w:rFonts w:eastAsiaTheme="minorEastAsia" w:cstheme="minorBidi"/>
          <w:lang w:val="pt-BR"/>
        </w:rPr>
      </w:pPr>
      <w:r>
        <w:rPr>
          <w:rFonts w:eastAsiaTheme="minorEastAsia" w:cstheme="minorBidi"/>
          <w:lang w:val="pt-BR"/>
        </w:rPr>
        <w:t xml:space="preserve">A CONEXO 2025 baseia-se em padrões internacionais e já atende aos requisitos de regulamentações futuras, como o Digital </w:t>
      </w:r>
      <w:proofErr w:type="spellStart"/>
      <w:r>
        <w:rPr>
          <w:rFonts w:eastAsiaTheme="minorEastAsia" w:cstheme="minorBidi"/>
          <w:lang w:val="pt-BR"/>
        </w:rPr>
        <w:t>Product</w:t>
      </w:r>
      <w:proofErr w:type="spellEnd"/>
      <w:r>
        <w:rPr>
          <w:rFonts w:eastAsiaTheme="minorEastAsia" w:cstheme="minorBidi"/>
          <w:lang w:val="pt-BR"/>
        </w:rPr>
        <w:t xml:space="preserve"> Passport (DPP) (passaporte digital de produto). A identificação inequívoca é possível por meio de códigos QR, </w:t>
      </w:r>
      <w:proofErr w:type="spellStart"/>
      <w:r>
        <w:rPr>
          <w:rFonts w:eastAsiaTheme="minorEastAsia" w:cstheme="minorBidi"/>
          <w:lang w:val="pt-BR"/>
        </w:rPr>
        <w:t>DataMatrix</w:t>
      </w:r>
      <w:proofErr w:type="spellEnd"/>
      <w:r>
        <w:rPr>
          <w:rFonts w:eastAsiaTheme="minorEastAsia" w:cstheme="minorBidi"/>
          <w:lang w:val="pt-BR"/>
        </w:rPr>
        <w:t xml:space="preserve"> e RFID UHF (860-960 MHz), garantindo a interoperabilidade entre fabricantes conforme as normas ISO/IEC. O novo Regulamento da UE ESPR tornará o DPP obrigatório para os primeiros grupos de produtos a partir de 2027. A CONEXO 2025 está preparada para processar estes dados e vinculá-los ao </w:t>
      </w:r>
      <w:proofErr w:type="spellStart"/>
      <w:r>
        <w:rPr>
          <w:rFonts w:eastAsiaTheme="minorEastAsia" w:cstheme="minorBidi"/>
          <w:lang w:val="pt-BR"/>
        </w:rPr>
        <w:t>Asset</w:t>
      </w:r>
      <w:proofErr w:type="spellEnd"/>
      <w:r>
        <w:rPr>
          <w:rFonts w:eastAsiaTheme="minorEastAsia" w:cstheme="minorBidi"/>
          <w:lang w:val="pt-BR"/>
        </w:rPr>
        <w:t xml:space="preserve"> </w:t>
      </w:r>
      <w:proofErr w:type="spellStart"/>
      <w:r>
        <w:rPr>
          <w:rFonts w:eastAsiaTheme="minorEastAsia" w:cstheme="minorBidi"/>
          <w:lang w:val="pt-BR"/>
        </w:rPr>
        <w:t>Administration</w:t>
      </w:r>
      <w:proofErr w:type="spellEnd"/>
      <w:r>
        <w:rPr>
          <w:rFonts w:eastAsiaTheme="minorEastAsia" w:cstheme="minorBidi"/>
          <w:lang w:val="pt-BR"/>
        </w:rPr>
        <w:t xml:space="preserve"> Shell (AAS). Identificadores legíveis por máquina conforme a IEC 61406 servem como referência baseada em URL diretamente no objeto físico e permitem o acesso a informações digitais, por exemplo, por meio de códigos 2D ou </w:t>
      </w:r>
      <w:proofErr w:type="spellStart"/>
      <w:r>
        <w:rPr>
          <w:rFonts w:eastAsiaTheme="minorEastAsia" w:cstheme="minorBidi"/>
          <w:lang w:val="pt-BR"/>
        </w:rPr>
        <w:t>tags</w:t>
      </w:r>
      <w:proofErr w:type="spellEnd"/>
      <w:r>
        <w:rPr>
          <w:rFonts w:eastAsiaTheme="minorEastAsia" w:cstheme="minorBidi"/>
          <w:lang w:val="pt-BR"/>
        </w:rPr>
        <w:t xml:space="preserve"> NFC. Além disso, a CONEXO usa AAS como um padrão independente do fabricante para gêmeos digitais na Indústria 4.0 e conta com o formato de arquivo aberto AASX para facilitar o intercâmbio entre empresas operadoras, fabricantes e parceiros de serviço.</w:t>
      </w:r>
    </w:p>
    <w:p w14:paraId="7D04E719" w14:textId="77777777" w:rsidR="00C45229" w:rsidRPr="00C45229" w:rsidRDefault="00C45229" w:rsidP="00C45229">
      <w:pPr>
        <w:spacing w:line="360" w:lineRule="auto"/>
        <w:rPr>
          <w:lang w:val="pt-BR"/>
        </w:rPr>
      </w:pPr>
    </w:p>
    <w:p w14:paraId="17BFD5D6" w14:textId="77777777" w:rsidR="00C45229" w:rsidRPr="00C45229" w:rsidRDefault="00C45229" w:rsidP="00C45229">
      <w:pPr>
        <w:spacing w:line="360" w:lineRule="auto"/>
        <w:rPr>
          <w:b/>
          <w:bCs/>
          <w:lang w:val="pt-BR"/>
        </w:rPr>
      </w:pPr>
      <w:r>
        <w:rPr>
          <w:rFonts w:eastAsiaTheme="minorEastAsia" w:cstheme="minorBidi"/>
          <w:b/>
          <w:lang w:val="pt-BR"/>
        </w:rPr>
        <w:t>Novas funções com a CONEXO 2025</w:t>
      </w:r>
    </w:p>
    <w:p w14:paraId="357B4218" w14:textId="77777777" w:rsidR="00C45229" w:rsidRPr="00C45229" w:rsidRDefault="00C45229" w:rsidP="00C45229">
      <w:pPr>
        <w:spacing w:line="360" w:lineRule="auto"/>
        <w:rPr>
          <w:lang w:val="pt-BR"/>
        </w:rPr>
      </w:pPr>
      <w:r>
        <w:rPr>
          <w:rFonts w:eastAsiaTheme="minorEastAsia" w:cstheme="minorBidi"/>
          <w:lang w:val="pt-BR"/>
        </w:rPr>
        <w:t xml:space="preserve">A CONEXO 2025 oferece uma ampla gama de novas funções que tornam o gerenciamento digital da instalação ainda mais eficiente e preparado para o futuro. Na área de gerenciamento de obsolescência, a solução permite a detecção precoce de condições críticas, tais como recalls ou descontinuações de </w:t>
      </w:r>
      <w:r>
        <w:rPr>
          <w:rFonts w:eastAsiaTheme="minorEastAsia" w:cstheme="minorBidi"/>
          <w:lang w:val="pt-BR"/>
        </w:rPr>
        <w:lastRenderedPageBreak/>
        <w:t>produtos, e cria automaticamente tarefas de substituição adequadas. O gerenciamento de componentes foi significativamente expandido: os nomes de alias permitem designações individuais, os caminhos de localização mostram a situação exata da instalação, os conjuntos completos agora podem ser removidos em massa, todos os documentos associados podem ser baixados como um arquivo ZIP e a identificação nas rotulagens de embalagem foi melhorada.</w:t>
      </w:r>
    </w:p>
    <w:p w14:paraId="54A353E8" w14:textId="77777777" w:rsidR="00C45229" w:rsidRDefault="00C45229" w:rsidP="00C45229">
      <w:pPr>
        <w:spacing w:line="360" w:lineRule="auto"/>
        <w:rPr>
          <w:rFonts w:eastAsiaTheme="minorEastAsia" w:cstheme="minorBidi"/>
          <w:lang w:val="pt-BR"/>
        </w:rPr>
      </w:pPr>
      <w:r>
        <w:rPr>
          <w:rFonts w:eastAsiaTheme="minorEastAsia" w:cstheme="minorBidi"/>
          <w:lang w:val="pt-BR"/>
        </w:rPr>
        <w:t>O gerenciamento dos locais técnicos também foi otimizado. Um QR-</w:t>
      </w:r>
      <w:proofErr w:type="spellStart"/>
      <w:r>
        <w:rPr>
          <w:rFonts w:eastAsiaTheme="minorEastAsia" w:cstheme="minorBidi"/>
          <w:lang w:val="pt-BR"/>
        </w:rPr>
        <w:t>Code</w:t>
      </w:r>
      <w:proofErr w:type="spellEnd"/>
      <w:r>
        <w:rPr>
          <w:rFonts w:eastAsiaTheme="minorEastAsia" w:cstheme="minorBidi"/>
          <w:lang w:val="pt-BR"/>
        </w:rPr>
        <w:t xml:space="preserve"> pode ser gerado para cada local, e a importação/exportação robusta com "Alias de Identificação" garante uma transferência de dados tranquila. As tarefas de manutenção agora podem ser complementadas por subtarefas, uma visualização de calendário facilita o planejamento e as notas internas e externas oferecem espaço adicional para informações. No gerenciamento de produtos, a CONEXO 2025 oferece suporte à importação de Excel e permite a extensão de atributos personalizados do fabricante. Uma nova visão geral de dispositivos móveis mostra todos os dispositivos conectados, incluindo suas informações e status de sincronização, para máxima transparência e controle.</w:t>
      </w:r>
    </w:p>
    <w:p w14:paraId="7A878160" w14:textId="77777777" w:rsidR="00C45229" w:rsidRPr="00C45229" w:rsidRDefault="00C45229" w:rsidP="00C45229">
      <w:pPr>
        <w:spacing w:line="360" w:lineRule="auto"/>
        <w:rPr>
          <w:lang w:val="pt-BR"/>
        </w:rPr>
      </w:pPr>
    </w:p>
    <w:p w14:paraId="18D6C62C" w14:textId="77777777" w:rsidR="00C45229" w:rsidRPr="00C45229" w:rsidRDefault="00C45229" w:rsidP="00C45229">
      <w:pPr>
        <w:spacing w:line="360" w:lineRule="auto"/>
        <w:rPr>
          <w:b/>
          <w:bCs/>
          <w:lang w:val="pt-BR"/>
        </w:rPr>
      </w:pPr>
      <w:r>
        <w:rPr>
          <w:rFonts w:eastAsiaTheme="minorEastAsia" w:cstheme="minorBidi"/>
          <w:b/>
          <w:lang w:val="pt-BR"/>
        </w:rPr>
        <w:t>Valores agregados</w:t>
      </w:r>
    </w:p>
    <w:p w14:paraId="027D4621" w14:textId="77777777" w:rsidR="00C45229" w:rsidRPr="00C45229" w:rsidRDefault="00C45229" w:rsidP="00C45229">
      <w:pPr>
        <w:spacing w:line="360" w:lineRule="auto"/>
        <w:rPr>
          <w:lang w:val="pt-BR"/>
        </w:rPr>
      </w:pPr>
      <w:r>
        <w:rPr>
          <w:rFonts w:eastAsiaTheme="minorEastAsia" w:cstheme="minorBidi"/>
          <w:lang w:val="pt-BR"/>
        </w:rPr>
        <w:t>Com a CONEXO 2025, os usuários se beneficiam de um aumento significativo na segurança e na conformidade: a identificação inequívoca dos componentes e a documentação completa de todas as medidas reduzem os riscos e facilitam as auditorias – incluindo recalls e obrigações de certificação. Simultaneamente, a solução aumenta a produtividade na assistência técnica e manutenção, minimizando os tempos de busca, evitando interrupções de mídia e permitindo uma taxa de resolução mais alta ("</w:t>
      </w:r>
      <w:proofErr w:type="spellStart"/>
      <w:r>
        <w:rPr>
          <w:rFonts w:eastAsiaTheme="minorEastAsia" w:cstheme="minorBidi"/>
          <w:lang w:val="pt-BR"/>
        </w:rPr>
        <w:t>Right</w:t>
      </w:r>
      <w:proofErr w:type="spellEnd"/>
      <w:r>
        <w:rPr>
          <w:rFonts w:eastAsiaTheme="minorEastAsia" w:cstheme="minorBidi"/>
          <w:lang w:val="pt-BR"/>
        </w:rPr>
        <w:t xml:space="preserve"> </w:t>
      </w:r>
      <w:proofErr w:type="spellStart"/>
      <w:r>
        <w:rPr>
          <w:rFonts w:eastAsiaTheme="minorEastAsia" w:cstheme="minorBidi"/>
          <w:lang w:val="pt-BR"/>
        </w:rPr>
        <w:t>First</w:t>
      </w:r>
      <w:proofErr w:type="spellEnd"/>
      <w:r>
        <w:rPr>
          <w:rFonts w:eastAsiaTheme="minorEastAsia" w:cstheme="minorBidi"/>
          <w:lang w:val="pt-BR"/>
        </w:rPr>
        <w:t xml:space="preserve"> Time"). Graças à combinação escalável de métodos de rotulagem física, como QR-</w:t>
      </w:r>
      <w:proofErr w:type="spellStart"/>
      <w:r>
        <w:rPr>
          <w:rFonts w:eastAsiaTheme="minorEastAsia" w:cstheme="minorBidi"/>
          <w:lang w:val="pt-BR"/>
        </w:rPr>
        <w:t>Code</w:t>
      </w:r>
      <w:proofErr w:type="spellEnd"/>
      <w:r>
        <w:rPr>
          <w:rFonts w:eastAsiaTheme="minorEastAsia" w:cstheme="minorBidi"/>
          <w:lang w:val="pt-BR"/>
        </w:rPr>
        <w:t xml:space="preserve">, RFID e IEC 61406 com gêmeos digitais (AAS/AASX) e o Digital </w:t>
      </w:r>
      <w:proofErr w:type="spellStart"/>
      <w:r>
        <w:rPr>
          <w:rFonts w:eastAsiaTheme="minorEastAsia" w:cstheme="minorBidi"/>
          <w:lang w:val="pt-BR"/>
        </w:rPr>
        <w:t>Product</w:t>
      </w:r>
      <w:proofErr w:type="spellEnd"/>
      <w:r>
        <w:rPr>
          <w:rFonts w:eastAsiaTheme="minorEastAsia" w:cstheme="minorBidi"/>
          <w:lang w:val="pt-BR"/>
        </w:rPr>
        <w:t xml:space="preserve"> Passport (DPP) (passaporte digital de produto), a CONEXO 2025 está equipada de maneira ideal para atender aos requisitos futuros – de todos os fabricantes e aberta a todos os sistemas.</w:t>
      </w:r>
    </w:p>
    <w:p w14:paraId="1AF7FFAF" w14:textId="77777777" w:rsidR="00C45229" w:rsidRPr="00C45229" w:rsidRDefault="00C45229" w:rsidP="00C45229">
      <w:pPr>
        <w:spacing w:line="360" w:lineRule="auto"/>
        <w:rPr>
          <w:lang w:val="pt-BR"/>
        </w:rPr>
      </w:pPr>
      <w:r>
        <w:rPr>
          <w:rFonts w:eastAsiaTheme="minorEastAsia" w:cstheme="minorBidi"/>
          <w:lang w:val="pt-BR"/>
        </w:rPr>
        <w:t>Com a CONEXO 2025, a GEMÜ oferece uma solução poderosa e preparada para o futuro no que se refere ao gerenciamento digital de instalações a fim de atender às crescentes demandas por transparência, eficiência e conformidade com padrões, abrindo caminho para uma nova era de digitalização industrial.</w:t>
      </w:r>
    </w:p>
    <w:p w14:paraId="1BBB28AD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7F3EDF9B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090B7D30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402D9D8C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2F66906B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19B0D3D7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4D2C2AAF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4EB86AB4" w14:textId="77777777" w:rsidR="003317FD" w:rsidRDefault="003317FD" w:rsidP="003317FD">
      <w:pPr>
        <w:rPr>
          <w:rFonts w:eastAsiaTheme="minorEastAsia" w:cstheme="minorBidi"/>
          <w:lang w:val="pt-BR"/>
        </w:rPr>
      </w:pPr>
    </w:p>
    <w:p w14:paraId="4D0AD628" w14:textId="4334692F" w:rsidR="007100E5" w:rsidRPr="00F06F6D" w:rsidRDefault="00831F4C" w:rsidP="00041E5C">
      <w:pPr>
        <w:autoSpaceDE w:val="0"/>
        <w:autoSpaceDN w:val="0"/>
        <w:spacing w:line="360" w:lineRule="auto"/>
        <w:rPr>
          <w:rFonts w:cs="Arial"/>
          <w:lang w:val="pt-BR"/>
        </w:rPr>
      </w:pPr>
      <w:r w:rsidRPr="00831F4C">
        <w:rPr>
          <w:rFonts w:cs="Arial"/>
          <w:b/>
          <w:bCs/>
          <w:lang w:val="pt-BR"/>
        </w:rPr>
        <w:lastRenderedPageBreak/>
        <w:t>Sobre nós</w:t>
      </w:r>
      <w:r w:rsidR="00F06F6D" w:rsidRPr="00F06F6D">
        <w:rPr>
          <w:rFonts w:cs="Arial"/>
          <w:b/>
          <w:bCs/>
          <w:lang w:val="pt-BR"/>
        </w:rPr>
        <w:br/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</w:t>
      </w:r>
      <w:r w:rsidR="002123C3">
        <w:rPr>
          <w:rFonts w:cs="Arial"/>
          <w:lang w:val="pt-BR"/>
        </w:rPr>
        <w:t>No ano de 202</w:t>
      </w:r>
      <w:r w:rsidR="00BC446F">
        <w:rPr>
          <w:rFonts w:cs="Arial"/>
          <w:lang w:val="pt-BR"/>
        </w:rPr>
        <w:t>4</w:t>
      </w:r>
      <w:r w:rsidR="002123C3">
        <w:rPr>
          <w:rFonts w:cs="Arial"/>
          <w:lang w:val="pt-BR"/>
        </w:rPr>
        <w:t xml:space="preserve"> o Grupo Empresarial atingiu um faturamento acima de 5</w:t>
      </w:r>
      <w:r w:rsidR="00BC446F">
        <w:rPr>
          <w:rFonts w:cs="Arial"/>
          <w:lang w:val="pt-BR"/>
        </w:rPr>
        <w:t>25</w:t>
      </w:r>
      <w:r w:rsidR="002123C3">
        <w:rPr>
          <w:rFonts w:cs="Arial"/>
          <w:lang w:val="pt-BR"/>
        </w:rPr>
        <w:t xml:space="preserve">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 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4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sectPr w:rsidR="007100E5" w:rsidRPr="00F06F6D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B872" w14:textId="77777777" w:rsidR="00C77537" w:rsidRPr="004951EC" w:rsidRDefault="00C77537" w:rsidP="00C77537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03E0DE69" w14:textId="77777777" w:rsidR="00C77537" w:rsidRDefault="00C77537" w:rsidP="00C77537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64C11252" w14:textId="77777777" w:rsidR="00C77537" w:rsidRPr="000E2FB8" w:rsidRDefault="00C77537" w:rsidP="00C77537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5DE8CC1F" w14:textId="77777777" w:rsidR="00C77537" w:rsidRPr="00BA7E08" w:rsidRDefault="00C77537" w:rsidP="00C77537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6EBB686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77537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5BC616C8" w14:textId="77777777" w:rsidR="00C77537" w:rsidRPr="00C77537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77537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</w:p>
  <w:p w14:paraId="5F6D28F1" w14:textId="51429DD8" w:rsidR="00DF0B01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FAA5E42" w14:textId="77777777" w:rsidR="00C77537" w:rsidRPr="00C77537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6C1A" w14:textId="77777777" w:rsidR="00C77537" w:rsidRPr="004951EC" w:rsidRDefault="00C77537" w:rsidP="00C77537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53B9EC99" w14:textId="77777777" w:rsidR="00C77537" w:rsidRDefault="00C77537" w:rsidP="00C77537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1EB68A8B" w14:textId="77777777" w:rsidR="00C77537" w:rsidRPr="000E2FB8" w:rsidRDefault="00C77537" w:rsidP="00C77537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5BEDAB9E" w14:textId="77777777" w:rsidR="00C77537" w:rsidRPr="00BA7E08" w:rsidRDefault="00C77537" w:rsidP="00C77537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7DDC449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77537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21BFEFF9" w14:textId="77777777" w:rsidR="00C77537" w:rsidRPr="00C77537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77537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</w:p>
  <w:p w14:paraId="5B65F9EC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FB2"/>
    <w:multiLevelType w:val="hybridMultilevel"/>
    <w:tmpl w:val="44664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1"/>
  </w:num>
  <w:num w:numId="2" w16cid:durableId="1649094165">
    <w:abstractNumId w:val="3"/>
  </w:num>
  <w:num w:numId="3" w16cid:durableId="822282338">
    <w:abstractNumId w:val="2"/>
  </w:num>
  <w:num w:numId="4" w16cid:durableId="6206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1E5C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C6597"/>
    <w:rsid w:val="002E7BEE"/>
    <w:rsid w:val="002F2177"/>
    <w:rsid w:val="00305F51"/>
    <w:rsid w:val="0031460C"/>
    <w:rsid w:val="0031563C"/>
    <w:rsid w:val="00316E53"/>
    <w:rsid w:val="00322CB1"/>
    <w:rsid w:val="003317FD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3FC0"/>
    <w:rsid w:val="00526C02"/>
    <w:rsid w:val="00534069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189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2BFD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3B3F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5421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97A9F"/>
    <w:rsid w:val="00BA7E08"/>
    <w:rsid w:val="00BB1983"/>
    <w:rsid w:val="00BC446F"/>
    <w:rsid w:val="00BC51EA"/>
    <w:rsid w:val="00BC617B"/>
    <w:rsid w:val="00BE0C8C"/>
    <w:rsid w:val="00BE3AB4"/>
    <w:rsid w:val="00C1306E"/>
    <w:rsid w:val="00C41618"/>
    <w:rsid w:val="00C4188C"/>
    <w:rsid w:val="00C44B03"/>
    <w:rsid w:val="00C45229"/>
    <w:rsid w:val="00C5559A"/>
    <w:rsid w:val="00C6663D"/>
    <w:rsid w:val="00C72D6F"/>
    <w:rsid w:val="00C77537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700D6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11380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A0C4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1417C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styleId="Listenabsatz">
    <w:name w:val="List Paragraph"/>
    <w:basedOn w:val="Standard"/>
    <w:uiPriority w:val="34"/>
    <w:qFormat/>
    <w:rsid w:val="00E11380"/>
    <w:pPr>
      <w:spacing w:after="200" w:line="276" w:lineRule="auto"/>
      <w:ind w:left="720"/>
      <w:contextualSpacing/>
    </w:pPr>
    <w:rPr>
      <w:rFonts w:eastAsiaTheme="minorEastAsia" w:cstheme="minorBidi"/>
      <w:szCs w:val="2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pt_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42</cp:revision>
  <cp:lastPrinted>2017-08-14T14:05:00Z</cp:lastPrinted>
  <dcterms:created xsi:type="dcterms:W3CDTF">2020-07-20T09:17:00Z</dcterms:created>
  <dcterms:modified xsi:type="dcterms:W3CDTF">2025-10-27T14:13:00Z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