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0DDD2" w14:textId="77777777" w:rsidR="00A84F3C" w:rsidRPr="00DE11BC" w:rsidRDefault="00A84F3C" w:rsidP="00F3788D">
      <w:pPr>
        <w:pStyle w:val="Untertitel"/>
        <w:spacing w:line="360" w:lineRule="auto"/>
        <w:rPr>
          <w:rFonts w:cs="Arial"/>
          <w:b w:val="0"/>
          <w:sz w:val="22"/>
        </w:rPr>
      </w:pPr>
    </w:p>
    <w:p w14:paraId="34E2C25C" w14:textId="77777777" w:rsidR="00A65266" w:rsidRPr="00DC210D" w:rsidRDefault="00A65266" w:rsidP="000B7CB3">
      <w:pPr>
        <w:tabs>
          <w:tab w:val="left" w:pos="7088"/>
        </w:tabs>
        <w:spacing w:line="360" w:lineRule="auto"/>
        <w:rPr>
          <w:rFonts w:cs="Arial"/>
          <w:sz w:val="22"/>
          <w:szCs w:val="22"/>
          <w:lang w:val="fr-FR"/>
        </w:rPr>
      </w:pPr>
    </w:p>
    <w:p w14:paraId="57FE69C8" w14:textId="77777777" w:rsidR="004A243A" w:rsidRPr="004A243A" w:rsidRDefault="004A243A" w:rsidP="004A243A">
      <w:pPr>
        <w:spacing w:line="360" w:lineRule="auto"/>
        <w:rPr>
          <w:rFonts w:eastAsiaTheme="minorEastAsia" w:cstheme="minorBidi"/>
          <w:b/>
          <w:sz w:val="24"/>
          <w:szCs w:val="21"/>
          <w:lang w:val="fr-FR"/>
        </w:rPr>
      </w:pPr>
      <w:r w:rsidRPr="004A243A">
        <w:rPr>
          <w:rFonts w:eastAsiaTheme="minorEastAsia" w:cstheme="minorBidi"/>
          <w:b/>
          <w:sz w:val="24"/>
          <w:szCs w:val="21"/>
          <w:lang w:val="fr-FR"/>
        </w:rPr>
        <w:t>GEMÜ présente CONEXO 2025 : la nouvelle ère de la gestion digitale des installations</w:t>
      </w:r>
    </w:p>
    <w:p w14:paraId="05C8823F" w14:textId="77777777" w:rsidR="004A243A" w:rsidRPr="004A243A" w:rsidRDefault="004A243A" w:rsidP="004A243A">
      <w:pPr>
        <w:spacing w:line="360" w:lineRule="auto"/>
        <w:rPr>
          <w:b/>
          <w:bCs/>
          <w:sz w:val="22"/>
          <w:szCs w:val="28"/>
          <w:lang w:val="fr-FR"/>
        </w:rPr>
      </w:pPr>
    </w:p>
    <w:p w14:paraId="562CF9BE" w14:textId="77777777" w:rsidR="004A243A" w:rsidRDefault="004A243A" w:rsidP="004A243A">
      <w:pPr>
        <w:spacing w:line="360" w:lineRule="auto"/>
        <w:rPr>
          <w:rFonts w:eastAsiaTheme="minorEastAsia" w:cstheme="minorBidi"/>
          <w:b/>
          <w:lang w:val="fr-FR"/>
        </w:rPr>
      </w:pPr>
      <w:r>
        <w:rPr>
          <w:rFonts w:eastAsiaTheme="minorEastAsia" w:cstheme="minorBidi"/>
          <w:b/>
          <w:lang w:val="fr-FR"/>
        </w:rPr>
        <w:t>Le groupe GEMÜ, spécialiste des vannes et des systèmes de mesure et de régulation, présente avec CONEXO 2025 la prochaine génération de sa solution digitale pour la gestion du cycle de vie des installations tous fabricants confondus. La nouvelle version établit des références en matière d'identification et gestion digitales de composants, et procure une transparence sans lacunes d'un bout à l'autre du cycle de vie – de la mise en service à l'élimination.</w:t>
      </w:r>
    </w:p>
    <w:p w14:paraId="7BB8399C" w14:textId="77777777" w:rsidR="004A243A" w:rsidRPr="004A243A" w:rsidRDefault="004A243A" w:rsidP="004A243A">
      <w:pPr>
        <w:spacing w:line="360" w:lineRule="auto"/>
        <w:rPr>
          <w:b/>
          <w:bCs/>
          <w:lang w:val="fr-FR"/>
        </w:rPr>
      </w:pPr>
    </w:p>
    <w:p w14:paraId="1675D0EF" w14:textId="77777777" w:rsidR="004A243A" w:rsidRPr="004A243A" w:rsidRDefault="004A243A" w:rsidP="004A243A">
      <w:pPr>
        <w:spacing w:line="360" w:lineRule="auto"/>
        <w:rPr>
          <w:lang w:val="fr-FR"/>
        </w:rPr>
      </w:pPr>
      <w:r>
        <w:rPr>
          <w:rFonts w:eastAsiaTheme="minorEastAsia" w:cstheme="minorBidi"/>
          <w:lang w:val="fr-FR"/>
        </w:rPr>
        <w:t xml:space="preserve">Grâce à des technologies telles que la RFID et les codes QR ou </w:t>
      </w:r>
      <w:proofErr w:type="spellStart"/>
      <w:r>
        <w:rPr>
          <w:rFonts w:eastAsiaTheme="minorEastAsia" w:cstheme="minorBidi"/>
          <w:lang w:val="fr-FR"/>
        </w:rPr>
        <w:t>DataMatrix</w:t>
      </w:r>
      <w:proofErr w:type="spellEnd"/>
      <w:r>
        <w:rPr>
          <w:rFonts w:eastAsiaTheme="minorEastAsia" w:cstheme="minorBidi"/>
          <w:lang w:val="fr-FR"/>
        </w:rPr>
        <w:t>, CONEXO2025 permet une identification fiable des composants directement dans l'installation, et relie ces derniers aux données de produit digitales, aux informations de maintenance et à l'état d'obsolescence.</w:t>
      </w:r>
    </w:p>
    <w:p w14:paraId="40DD0B4F" w14:textId="4D5EB65D" w:rsidR="004A243A" w:rsidRDefault="004A243A" w:rsidP="004A243A">
      <w:pPr>
        <w:spacing w:line="360" w:lineRule="auto"/>
        <w:rPr>
          <w:rFonts w:eastAsiaTheme="minorEastAsia" w:cstheme="minorBidi"/>
          <w:lang w:val="fr-FR"/>
        </w:rPr>
      </w:pPr>
      <w:r>
        <w:rPr>
          <w:rFonts w:eastAsiaTheme="minorEastAsia" w:cstheme="minorBidi"/>
          <w:lang w:val="fr-FR"/>
        </w:rPr>
        <w:t>Une simple lecture par scanner suffit aux techniciens d'entretien pour accéder immédiatement aux documents pertinents, certificats, historiques de maintenance et interventions prévues.</w:t>
      </w:r>
    </w:p>
    <w:p w14:paraId="62FDBBF8" w14:textId="77777777" w:rsidR="004A243A" w:rsidRPr="004A243A" w:rsidRDefault="004A243A" w:rsidP="004A243A">
      <w:pPr>
        <w:spacing w:line="360" w:lineRule="auto"/>
        <w:rPr>
          <w:lang w:val="fr-FR"/>
        </w:rPr>
      </w:pPr>
    </w:p>
    <w:p w14:paraId="7B07AF29" w14:textId="77777777" w:rsidR="004A243A" w:rsidRPr="004A243A" w:rsidRDefault="004A243A" w:rsidP="004A243A">
      <w:pPr>
        <w:spacing w:line="360" w:lineRule="auto"/>
        <w:rPr>
          <w:b/>
          <w:bCs/>
          <w:lang w:val="fr-FR"/>
        </w:rPr>
      </w:pPr>
      <w:r>
        <w:rPr>
          <w:rFonts w:eastAsiaTheme="minorEastAsia" w:cstheme="minorBidi"/>
          <w:b/>
          <w:lang w:val="fr-FR"/>
        </w:rPr>
        <w:t>Ouvert. Basé sur des standards. Pérenne.</w:t>
      </w:r>
    </w:p>
    <w:p w14:paraId="70D7B373" w14:textId="77777777" w:rsidR="004A243A" w:rsidRDefault="004A243A" w:rsidP="004A243A">
      <w:pPr>
        <w:spacing w:line="360" w:lineRule="auto"/>
        <w:rPr>
          <w:rFonts w:eastAsiaTheme="minorEastAsia" w:cstheme="minorBidi"/>
          <w:lang w:val="fr-FR"/>
        </w:rPr>
      </w:pPr>
      <w:r>
        <w:rPr>
          <w:rFonts w:eastAsiaTheme="minorEastAsia" w:cstheme="minorBidi"/>
          <w:lang w:val="fr-FR"/>
        </w:rPr>
        <w:t xml:space="preserve">CONEXO 2025 repose sur des standards internationaux et répond dès aujourd'hui aux exigences des futures réglementations, comme le passeport produit numérique (DPP). Il permet une identification fiable avec des QR codes ou via </w:t>
      </w:r>
      <w:proofErr w:type="spellStart"/>
      <w:r>
        <w:rPr>
          <w:rFonts w:eastAsiaTheme="minorEastAsia" w:cstheme="minorBidi"/>
          <w:lang w:val="fr-FR"/>
        </w:rPr>
        <w:t>DataMatrix</w:t>
      </w:r>
      <w:proofErr w:type="spellEnd"/>
      <w:r>
        <w:rPr>
          <w:rFonts w:eastAsiaTheme="minorEastAsia" w:cstheme="minorBidi"/>
          <w:lang w:val="fr-FR"/>
        </w:rPr>
        <w:t xml:space="preserve"> et UHF-RFID (860–960 MHz), ce qui assure son interopérabilité tous fabricants confondus, conformément aux normes ISO/CEI. Le nouveau règlement UE REPD rend le DPP obligatoire pour les premiers groupes de produits à partir de 2027. CONEXO 2025 est prééquipé pour traiter les données correspondantes et les relier à l'Asset Administration Shell (AAS). Les identifiants lisibles par machine selon CEI 61406 servent de référence URL directement sur l'objet physique et permettent d'accéder à des informations digitales, par exemple via des codes 2D ou des tags NFC. Pour les jumeaux numériques, dans l'Industrie 4.0, CONEXO fait en outre appel à l'AAS comme standard indépendant du fabricant et mise sur le format de fichiers ouvert AASX pour faciliter l'échange entre exploitants, fabricants et partenaires de services.</w:t>
      </w:r>
    </w:p>
    <w:p w14:paraId="11CBAAA8" w14:textId="77777777" w:rsidR="004A243A" w:rsidRPr="004A243A" w:rsidRDefault="004A243A" w:rsidP="004A243A">
      <w:pPr>
        <w:spacing w:line="360" w:lineRule="auto"/>
        <w:rPr>
          <w:lang w:val="fr-FR"/>
        </w:rPr>
      </w:pPr>
    </w:p>
    <w:p w14:paraId="1E0C30D9" w14:textId="77777777" w:rsidR="004A243A" w:rsidRPr="004514A9" w:rsidRDefault="004A243A" w:rsidP="004A243A">
      <w:pPr>
        <w:spacing w:line="360" w:lineRule="auto"/>
        <w:rPr>
          <w:b/>
          <w:bCs/>
        </w:rPr>
      </w:pPr>
      <w:r>
        <w:rPr>
          <w:rFonts w:eastAsiaTheme="minorEastAsia" w:cstheme="minorBidi"/>
          <w:b/>
          <w:lang w:val="fr-FR"/>
        </w:rPr>
        <w:t>Nouvelles fonctions avec CONEXO 2025</w:t>
      </w:r>
    </w:p>
    <w:p w14:paraId="54BAC83A" w14:textId="77777777" w:rsidR="004A243A" w:rsidRPr="004A243A" w:rsidRDefault="004A243A" w:rsidP="004A243A">
      <w:pPr>
        <w:spacing w:line="360" w:lineRule="auto"/>
        <w:rPr>
          <w:lang w:val="fr-FR"/>
        </w:rPr>
      </w:pPr>
      <w:r>
        <w:rPr>
          <w:rFonts w:eastAsiaTheme="minorEastAsia" w:cstheme="minorBidi"/>
          <w:lang w:val="fr-FR"/>
        </w:rPr>
        <w:t xml:space="preserve">CONEXO 2025 propose de nombreuses fonctions nouvelles qui rendent la gestion digitale des installations encore plus efficace et plus pérenne. En matière de gestion de l'obsolescence, la solution permet une détermination précoce des états critiques, tels que les campagnes de rappel ou l'arrêt de la fabrication de </w:t>
      </w:r>
      <w:r>
        <w:rPr>
          <w:rFonts w:eastAsiaTheme="minorEastAsia" w:cstheme="minorBidi"/>
          <w:lang w:val="fr-FR"/>
        </w:rPr>
        <w:lastRenderedPageBreak/>
        <w:t>produits, et définit automatiquement des interventions de remplacement appropriées. L'éventail de possibilités de gestion des composants a été nettement élargi : des désignations personnalisées peuvent être créées grâce à des alias, des chemins de localisation indiquent l'emplacement exact de montage, des sous-ensembles entiers peuvent désormais être démontés en grande quantité, tandis que tous les documents correspondants peuvent être téléchargés sous forme de fichier ZIP. Précisons également que l'identification des marquages des emballages a été améliorée.</w:t>
      </w:r>
    </w:p>
    <w:p w14:paraId="1CA03948" w14:textId="77777777" w:rsidR="004A243A" w:rsidRDefault="004A243A" w:rsidP="004A243A">
      <w:pPr>
        <w:spacing w:line="360" w:lineRule="auto"/>
        <w:rPr>
          <w:rFonts w:eastAsiaTheme="minorEastAsia" w:cstheme="minorBidi"/>
          <w:lang w:val="fr-FR"/>
        </w:rPr>
      </w:pPr>
      <w:r>
        <w:rPr>
          <w:rFonts w:eastAsiaTheme="minorEastAsia" w:cstheme="minorBidi"/>
          <w:lang w:val="fr-FR"/>
        </w:rPr>
        <w:t xml:space="preserve">La gestion des postes techniques a elle aussi été optimisée. Il est possible de générer un QR code pour chaque poste, et la robuste fonction d'importation/exportation avec « Identification Alias » assure un parfait déroulement du transfert de données. Les interventions de maintenance peuvent désormais être complétées d'opérations partielles, une vue calendrier facilite la planification, tandis que des notes internes et externes offrent davantage de place pour les informations. Dans le cadre de la gestion des produits, CONEXO  2025 prend en charge l'importation Excel et permet aux utilisateurs d'ajouter leurs propres attributs de fabricant. Nouveau, l'aperçu des terminaux mobiles montre tous les appareils connectés, accompagnés de leurs informations et leur état de synchronisation. Pour une transparence et </w:t>
      </w:r>
      <w:proofErr w:type="gramStart"/>
      <w:r>
        <w:rPr>
          <w:rFonts w:eastAsiaTheme="minorEastAsia" w:cstheme="minorBidi"/>
          <w:lang w:val="fr-FR"/>
        </w:rPr>
        <w:t>un contrôle maximaux</w:t>
      </w:r>
      <w:proofErr w:type="gramEnd"/>
      <w:r>
        <w:rPr>
          <w:rFonts w:eastAsiaTheme="minorEastAsia" w:cstheme="minorBidi"/>
          <w:lang w:val="fr-FR"/>
        </w:rPr>
        <w:t>.</w:t>
      </w:r>
    </w:p>
    <w:p w14:paraId="6E08409A" w14:textId="77777777" w:rsidR="004A243A" w:rsidRPr="004A243A" w:rsidRDefault="004A243A" w:rsidP="004A243A">
      <w:pPr>
        <w:spacing w:line="360" w:lineRule="auto"/>
        <w:rPr>
          <w:lang w:val="fr-FR"/>
        </w:rPr>
      </w:pPr>
    </w:p>
    <w:p w14:paraId="49C23B53" w14:textId="77777777" w:rsidR="004A243A" w:rsidRPr="004A243A" w:rsidRDefault="004A243A" w:rsidP="004A243A">
      <w:pPr>
        <w:spacing w:line="360" w:lineRule="auto"/>
        <w:rPr>
          <w:b/>
          <w:bCs/>
          <w:lang w:val="fr-FR"/>
        </w:rPr>
      </w:pPr>
      <w:r>
        <w:rPr>
          <w:rFonts w:eastAsiaTheme="minorEastAsia" w:cstheme="minorBidi"/>
          <w:b/>
          <w:lang w:val="fr-FR"/>
        </w:rPr>
        <w:t>Valeurs ajoutées</w:t>
      </w:r>
    </w:p>
    <w:p w14:paraId="3B6AB386" w14:textId="77777777" w:rsidR="004A243A" w:rsidRPr="004A243A" w:rsidRDefault="004A243A" w:rsidP="004A243A">
      <w:pPr>
        <w:spacing w:line="360" w:lineRule="auto"/>
        <w:rPr>
          <w:lang w:val="fr-FR"/>
        </w:rPr>
      </w:pPr>
      <w:r>
        <w:rPr>
          <w:rFonts w:eastAsiaTheme="minorEastAsia" w:cstheme="minorBidi"/>
          <w:lang w:val="fr-FR"/>
        </w:rPr>
        <w:t>Avec CONEXO 2025, les utilisateurs bénéficient d'un gain sensible de sécurité et de compliance : l'identification fiable des composants ainsi que la documentation sans lacunes de toutes les mesures déployées réduisent les risques et facilitent les audits, et même la gestion des rappels ainsi que des obligations en matière de certificats. Parallèlement, la solution accroît la productivité dans le cadre de l'entretien et la remise en état en réduisant les temps de recherche, en renforçant l'homogénéité des supports d'information et en augmentant le taux de résolution des problèmes dès la première fois (« Right First Time »). Grâce à sa combinaison évolutive de méthodes d'identification physique, telles que QR code, RFID et CEI 61406, avec les jumeaux numériques (AAS/AASX) et le passeport produit numérique (DPP), CONEXO 2025 dispose de tous les atouts nécessaires pour faire face aux futures exigences, quels que soient le fabricant et le système.</w:t>
      </w:r>
    </w:p>
    <w:p w14:paraId="0775E364" w14:textId="77777777" w:rsidR="004A243A" w:rsidRPr="004A243A" w:rsidRDefault="004A243A" w:rsidP="004A243A">
      <w:pPr>
        <w:spacing w:line="360" w:lineRule="auto"/>
        <w:rPr>
          <w:lang w:val="fr-FR"/>
        </w:rPr>
      </w:pPr>
      <w:r>
        <w:rPr>
          <w:rFonts w:eastAsiaTheme="minorEastAsia" w:cstheme="minorBidi"/>
          <w:lang w:val="fr-FR"/>
        </w:rPr>
        <w:t>Avec CONEXO 2025, GEMÜ propose une solution d'avenir performante pour la gestion digitale des installations. Une solution à la hauteur des exigences toujours plus grandes en matière de transparence, d'efficacité et de conformité aux normes. Le groupe ouvre ainsi la voie à une nouvelle ère de la digitalisation industrielle.</w:t>
      </w:r>
    </w:p>
    <w:p w14:paraId="0393B9FD" w14:textId="77777777" w:rsidR="000B7CB3" w:rsidRPr="00C87274" w:rsidRDefault="000B7CB3" w:rsidP="00F3788D">
      <w:pPr>
        <w:autoSpaceDE w:val="0"/>
        <w:autoSpaceDN w:val="0"/>
        <w:adjustRightInd w:val="0"/>
        <w:spacing w:line="360" w:lineRule="auto"/>
        <w:rPr>
          <w:rFonts w:cs="Arial"/>
          <w:b/>
          <w:lang w:val="fr-FR"/>
        </w:rPr>
      </w:pPr>
    </w:p>
    <w:p w14:paraId="5552E112" w14:textId="77777777" w:rsidR="00827B88" w:rsidRPr="00C87274" w:rsidRDefault="00827B88" w:rsidP="00F3788D">
      <w:pPr>
        <w:autoSpaceDE w:val="0"/>
        <w:autoSpaceDN w:val="0"/>
        <w:adjustRightInd w:val="0"/>
        <w:spacing w:line="360" w:lineRule="auto"/>
        <w:rPr>
          <w:rFonts w:cs="Arial"/>
          <w:b/>
          <w:lang w:val="fr-FR"/>
        </w:rPr>
      </w:pPr>
    </w:p>
    <w:p w14:paraId="67915849" w14:textId="77777777" w:rsidR="00827B88" w:rsidRPr="00C87274" w:rsidRDefault="00827B88" w:rsidP="00F3788D">
      <w:pPr>
        <w:autoSpaceDE w:val="0"/>
        <w:autoSpaceDN w:val="0"/>
        <w:adjustRightInd w:val="0"/>
        <w:spacing w:line="360" w:lineRule="auto"/>
        <w:rPr>
          <w:rFonts w:cs="Arial"/>
          <w:b/>
          <w:lang w:val="fr-FR"/>
        </w:rPr>
      </w:pPr>
    </w:p>
    <w:p w14:paraId="4DF4E62C" w14:textId="77777777" w:rsidR="00827B88" w:rsidRPr="00C87274" w:rsidRDefault="00827B88" w:rsidP="00F3788D">
      <w:pPr>
        <w:autoSpaceDE w:val="0"/>
        <w:autoSpaceDN w:val="0"/>
        <w:adjustRightInd w:val="0"/>
        <w:spacing w:line="360" w:lineRule="auto"/>
        <w:rPr>
          <w:rFonts w:cs="Arial"/>
          <w:b/>
          <w:lang w:val="fr-FR"/>
        </w:rPr>
      </w:pPr>
    </w:p>
    <w:p w14:paraId="5EDC04AD" w14:textId="4ADE2BF9" w:rsidR="000B7CB3" w:rsidRPr="00C87274" w:rsidRDefault="000B7CB3" w:rsidP="00F3788D">
      <w:pPr>
        <w:autoSpaceDE w:val="0"/>
        <w:autoSpaceDN w:val="0"/>
        <w:adjustRightInd w:val="0"/>
        <w:spacing w:line="360" w:lineRule="auto"/>
        <w:rPr>
          <w:rFonts w:cs="Arial"/>
          <w:b/>
          <w:lang w:val="fr-FR"/>
        </w:rPr>
      </w:pPr>
    </w:p>
    <w:p w14:paraId="40CC1BCC" w14:textId="5B0F9663" w:rsidR="00C87274" w:rsidRDefault="00C87274" w:rsidP="006D3EC9">
      <w:pPr>
        <w:pStyle w:val="bodytext"/>
        <w:spacing w:line="360" w:lineRule="auto"/>
        <w:rPr>
          <w:rFonts w:ascii="Arial" w:hAnsi="Arial" w:cs="Arial"/>
          <w:b/>
          <w:bCs/>
          <w:sz w:val="20"/>
          <w:szCs w:val="20"/>
          <w:lang w:val="fr-FR"/>
        </w:rPr>
      </w:pPr>
      <w:r w:rsidRPr="00C87274">
        <w:rPr>
          <w:rFonts w:ascii="Arial" w:hAnsi="Arial" w:cs="Arial"/>
          <w:b/>
          <w:bCs/>
          <w:sz w:val="20"/>
          <w:szCs w:val="20"/>
          <w:lang w:val="fr-FR"/>
        </w:rPr>
        <w:lastRenderedPageBreak/>
        <w:t>À propos de nous</w:t>
      </w:r>
    </w:p>
    <w:p w14:paraId="3435A453" w14:textId="4D38CBE3" w:rsidR="000327ED" w:rsidRDefault="006D3EC9" w:rsidP="000327ED">
      <w:pPr>
        <w:autoSpaceDE w:val="0"/>
        <w:autoSpaceDN w:val="0"/>
        <w:spacing w:line="360" w:lineRule="auto"/>
        <w:rPr>
          <w:rFonts w:cs="Arial"/>
          <w:lang w:val="fr-FR"/>
        </w:rPr>
      </w:pPr>
      <w:r w:rsidRPr="006D3EC9">
        <w:rPr>
          <w:rFonts w:cs="Arial"/>
          <w:lang w:val="fr-FR"/>
        </w:rPr>
        <w:t xml:space="preserve">Le Groupe GEMÜ développe et met au point des systèmes de vannes, de mesure et de régulation pour liquides, vapeurs et gaz. L'entreprise est le leader mondial du marché des solutions pour les procédés stériles. L'entreprise familiale indépendante à vocation mondiale a été fondée en 1964 et est dirigée depuis 2011 par la deuxième génération, à savoir Gert Müller en tant qu'associé gérant conjointement avec son cousin Stephan Müller. </w:t>
      </w:r>
      <w:r w:rsidR="000327ED">
        <w:rPr>
          <w:rFonts w:cs="Arial"/>
          <w:lang w:val="fr-FR"/>
        </w:rPr>
        <w:t>En 202</w:t>
      </w:r>
      <w:r w:rsidR="00FC6C04">
        <w:rPr>
          <w:rFonts w:cs="Arial"/>
          <w:lang w:val="fr-FR"/>
        </w:rPr>
        <w:t>4</w:t>
      </w:r>
      <w:r w:rsidR="000327ED">
        <w:rPr>
          <w:rFonts w:cs="Arial"/>
          <w:lang w:val="fr-FR"/>
        </w:rPr>
        <w:t>, le groupe a réalisé un chiffre d'affaires de plus de 5</w:t>
      </w:r>
      <w:r w:rsidR="00FC6C04">
        <w:rPr>
          <w:rFonts w:cs="Arial"/>
          <w:lang w:val="fr-FR"/>
        </w:rPr>
        <w:t>25</w:t>
      </w:r>
      <w:r w:rsidR="000327ED">
        <w:rPr>
          <w:rFonts w:cs="Arial"/>
          <w:lang w:val="fr-FR"/>
        </w:rPr>
        <w:t xml:space="preserve"> millions d'euros et emploie aujourd'hui dans le monde entier plus de 2 500 personnes, dont plus de 1 400 en Allemagne. La production a lieu sur huit sites : outre les sites de production en Allemagne, GEMÜ fabrique ses produits au Brésil, en Chine, aux États-Unis, en France, en Inde ainsi qu'en Suisse. La distribution mondiale se fait par le biais de 25 filiales et est coordonnée depuis l'Allemagne. Un réseau dense de partenaires commerciaux permet au groupe d'être actif sur tous les continents et ce, dans plus de 50 pays.  </w:t>
      </w:r>
    </w:p>
    <w:p w14:paraId="45BCC3B2" w14:textId="48CE5ED5" w:rsidR="00880437" w:rsidRPr="000327ED" w:rsidRDefault="006D3EC9" w:rsidP="000327ED">
      <w:pPr>
        <w:autoSpaceDE w:val="0"/>
        <w:autoSpaceDN w:val="0"/>
        <w:spacing w:line="360" w:lineRule="auto"/>
        <w:rPr>
          <w:rFonts w:cs="Arial"/>
          <w:color w:val="666666"/>
          <w:sz w:val="21"/>
          <w:szCs w:val="21"/>
          <w:lang w:val="fr-FR"/>
        </w:rPr>
      </w:pPr>
      <w:r w:rsidRPr="000327ED">
        <w:rPr>
          <w:rFonts w:cs="Arial"/>
          <w:lang w:val="fr-FR"/>
        </w:rPr>
        <w:t xml:space="preserve">Vous trouverez d'autres informations sur </w:t>
      </w:r>
      <w:hyperlink r:id="rId14" w:tgtFrame="_blank" w:tooltip="www.gemu-group.com" w:history="1">
        <w:r w:rsidRPr="000327ED">
          <w:rPr>
            <w:rStyle w:val="Hyperlink"/>
            <w:rFonts w:cs="Arial"/>
            <w:color w:val="auto"/>
            <w:lang w:val="fr-FR"/>
          </w:rPr>
          <w:t>gemu-group.com</w:t>
        </w:r>
      </w:hyperlink>
      <w:r w:rsidRPr="000327ED">
        <w:rPr>
          <w:rFonts w:cs="Arial"/>
          <w:color w:val="666666"/>
          <w:sz w:val="21"/>
          <w:szCs w:val="21"/>
          <w:lang w:val="fr-FR"/>
        </w:rPr>
        <w:t>.</w:t>
      </w:r>
    </w:p>
    <w:sectPr w:rsidR="00880437" w:rsidRPr="000327ED" w:rsidSect="003B2FE3">
      <w:headerReference w:type="default" r:id="rId15"/>
      <w:footerReference w:type="default" r:id="rId16"/>
      <w:headerReference w:type="first" r:id="rId17"/>
      <w:footerReference w:type="first" r:id="rId18"/>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E3F1F" w14:textId="77777777" w:rsidR="00DD60B0" w:rsidRDefault="00DD60B0">
      <w:r>
        <w:separator/>
      </w:r>
    </w:p>
  </w:endnote>
  <w:endnote w:type="continuationSeparator" w:id="0">
    <w:p w14:paraId="549F15EB"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98E39" w14:textId="77777777" w:rsidR="00880437" w:rsidRPr="004951EC" w:rsidRDefault="00880437" w:rsidP="00880437">
    <w:pPr>
      <w:pStyle w:val="Fuzeile"/>
      <w:spacing w:line="240" w:lineRule="auto"/>
    </w:pPr>
    <w:r w:rsidRPr="000E2FB8">
      <w:rPr>
        <w:b w:val="0"/>
        <w:bCs/>
      </w:rPr>
      <w:t xml:space="preserve">GEMÜ Gebr. Müller Apparatebau GmbH &amp; Co. </w:t>
    </w:r>
    <w:r w:rsidRPr="004951EC">
      <w:rPr>
        <w:b w:val="0"/>
        <w:bCs/>
      </w:rPr>
      <w:t xml:space="preserve">KG • Gert-Müller-Platz 1 • 74635 </w:t>
    </w:r>
    <w:r>
      <w:rPr>
        <w:b w:val="0"/>
        <w:bCs/>
      </w:rPr>
      <w:t>Kupferzell</w:t>
    </w:r>
    <w:r w:rsidRPr="004951EC">
      <w:rPr>
        <w:b w:val="0"/>
        <w:bCs/>
      </w:rPr>
      <w:t xml:space="preserve"> • Germany</w:t>
    </w:r>
    <w:r w:rsidRPr="004951EC">
      <w:tab/>
      <w:t xml:space="preserve">Page </w:t>
    </w:r>
    <w:r>
      <w:fldChar w:fldCharType="begin"/>
    </w:r>
    <w:r w:rsidRPr="004951EC">
      <w:instrText>PAGE  \* Arabic  \* MERGEFORMAT</w:instrText>
    </w:r>
    <w:r>
      <w:fldChar w:fldCharType="separate"/>
    </w:r>
    <w:r>
      <w:t>1</w:t>
    </w:r>
    <w:r>
      <w:fldChar w:fldCharType="end"/>
    </w:r>
    <w:r w:rsidRPr="004951EC">
      <w:t xml:space="preserve"> </w:t>
    </w:r>
    <w:proofErr w:type="spellStart"/>
    <w:r w:rsidRPr="004951EC">
      <w:t>of</w:t>
    </w:r>
    <w:proofErr w:type="spellEnd"/>
    <w:r w:rsidRPr="004951EC">
      <w:t xml:space="preserve"> </w:t>
    </w:r>
    <w:r>
      <w:fldChar w:fldCharType="begin"/>
    </w:r>
    <w:r w:rsidRPr="004951EC">
      <w:instrText>NUMPAGES  \* Arabic  \* MERGEFORMAT</w:instrText>
    </w:r>
    <w:r>
      <w:fldChar w:fldCharType="separate"/>
    </w:r>
    <w:r>
      <w:t>1</w:t>
    </w:r>
    <w:r>
      <w:rPr>
        <w:noProof/>
      </w:rPr>
      <w:fldChar w:fldCharType="end"/>
    </w:r>
  </w:p>
  <w:p w14:paraId="7151E69D" w14:textId="77777777" w:rsidR="00880437" w:rsidRDefault="00880437" w:rsidP="00880437">
    <w:pPr>
      <w:pStyle w:val="Webseite"/>
      <w:rPr>
        <w:b w:val="0"/>
        <w:bCs/>
        <w:color w:val="auto"/>
        <w:lang w:val="en-US"/>
      </w:rPr>
    </w:pPr>
    <w:r w:rsidRPr="000E2FB8">
      <w:rPr>
        <w:b w:val="0"/>
        <w:bCs/>
        <w:color w:val="auto"/>
        <w:lang w:val="en-US"/>
      </w:rPr>
      <w:t xml:space="preserve">Phone: +49 7940 123-0 </w:t>
    </w:r>
  </w:p>
  <w:p w14:paraId="6E0900EE" w14:textId="77777777" w:rsidR="00880437" w:rsidRPr="000E2FB8" w:rsidRDefault="00880437" w:rsidP="00880437">
    <w:pPr>
      <w:pStyle w:val="Webseite"/>
      <w:rPr>
        <w:b w:val="0"/>
        <w:bCs/>
        <w:color w:val="auto"/>
        <w:lang w:val="en-US"/>
      </w:rPr>
    </w:pPr>
    <w:r>
      <w:rPr>
        <w:b w:val="0"/>
        <w:bCs/>
        <w:color w:val="auto"/>
        <w:lang w:val="en-US"/>
      </w:rPr>
      <w:t>gemu-group.com</w:t>
    </w:r>
  </w:p>
  <w:p w14:paraId="6A7599E1" w14:textId="77777777" w:rsidR="00880437" w:rsidRPr="00BA7E08" w:rsidRDefault="00880437" w:rsidP="00880437">
    <w:pPr>
      <w:pStyle w:val="Webseite"/>
      <w:rPr>
        <w:color w:val="A6A6A6" w:themeColor="background1" w:themeShade="A6"/>
        <w:sz w:val="12"/>
        <w:szCs w:val="12"/>
        <w:lang w:val="en-US"/>
      </w:rPr>
    </w:pPr>
  </w:p>
  <w:p w14:paraId="3C9D2A79" w14:textId="77777777" w:rsidR="00880437" w:rsidRPr="000E2FB8" w:rsidRDefault="00880437" w:rsidP="00880437">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Limited partnership: Head office: 7463</w:t>
    </w:r>
    <w:r>
      <w:rPr>
        <w:color w:val="A6A6A6" w:themeColor="background1" w:themeShade="A6"/>
        <w:sz w:val="10"/>
        <w:szCs w:val="10"/>
        <w:lang w:val="en-US"/>
      </w:rPr>
      <w:t>5</w:t>
    </w:r>
    <w:r w:rsidRPr="000E2FB8">
      <w:rPr>
        <w:color w:val="A6A6A6" w:themeColor="background1" w:themeShade="A6"/>
        <w:sz w:val="10"/>
        <w:szCs w:val="10"/>
        <w:lang w:val="en-US"/>
      </w:rPr>
      <w:t xml:space="preserve"> </w:t>
    </w:r>
    <w:r>
      <w:rPr>
        <w:color w:val="A6A6A6" w:themeColor="background1" w:themeShade="A6"/>
        <w:sz w:val="10"/>
        <w:szCs w:val="10"/>
        <w:lang w:val="en-US"/>
      </w:rPr>
      <w:t>Kupferzell, Germany</w:t>
    </w:r>
    <w:r w:rsidRPr="000E2FB8">
      <w:rPr>
        <w:color w:val="A6A6A6" w:themeColor="background1" w:themeShade="A6"/>
        <w:sz w:val="10"/>
        <w:szCs w:val="10"/>
        <w:lang w:val="en-US"/>
      </w:rPr>
      <w:t>; Stuttgart Court of Registry HRA 590394; Limited partner: Gebr. Müller GmbH; Stuttgart Court of Registry</w:t>
    </w:r>
    <w:r w:rsidRPr="00880437">
      <w:rPr>
        <w:color w:val="A6A6A6" w:themeColor="background1" w:themeShade="A6"/>
        <w:sz w:val="10"/>
        <w:szCs w:val="10"/>
        <w:lang w:val="en-US"/>
      </w:rPr>
      <w:t>, commercial register </w:t>
    </w:r>
    <w:r w:rsidRPr="000E2FB8">
      <w:rPr>
        <w:color w:val="A6A6A6" w:themeColor="background1" w:themeShade="A6"/>
        <w:sz w:val="10"/>
        <w:szCs w:val="10"/>
        <w:lang w:val="en-US"/>
      </w:rPr>
      <w:t>HRB 590215</w:t>
    </w:r>
  </w:p>
  <w:p w14:paraId="747346B6" w14:textId="77777777" w:rsidR="00880437" w:rsidRPr="00880437" w:rsidRDefault="00880437" w:rsidP="00880437">
    <w:pPr>
      <w:pStyle w:val="Fuzeile"/>
      <w:spacing w:line="240" w:lineRule="auto"/>
      <w:rPr>
        <w:color w:val="A6A6A6" w:themeColor="background1" w:themeShade="A6"/>
        <w:sz w:val="10"/>
        <w:szCs w:val="10"/>
        <w:lang w:val="en-US"/>
      </w:rPr>
    </w:pPr>
    <w:r w:rsidRPr="00880437">
      <w:rPr>
        <w:color w:val="A6A6A6" w:themeColor="background1" w:themeShade="A6"/>
        <w:sz w:val="10"/>
        <w:szCs w:val="10"/>
        <w:lang w:val="en-US"/>
      </w:rPr>
      <w:t>Managing Directors: Gert Müller, Stephan Müller, Matthias Fick</w:t>
    </w:r>
  </w:p>
  <w:p w14:paraId="056C9D65" w14:textId="77777777" w:rsidR="00880437" w:rsidRPr="000E2FB8" w:rsidRDefault="00880437" w:rsidP="00880437">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VAT number: DE 146281082, Tax number: 76050/04341</w:t>
    </w:r>
  </w:p>
  <w:p w14:paraId="573B4E6C"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593E9" w14:textId="77777777" w:rsidR="00880437" w:rsidRPr="004951EC" w:rsidRDefault="00880437" w:rsidP="00880437">
    <w:pPr>
      <w:pStyle w:val="Fuzeile"/>
      <w:spacing w:line="240" w:lineRule="auto"/>
    </w:pPr>
    <w:r w:rsidRPr="000E2FB8">
      <w:rPr>
        <w:b w:val="0"/>
        <w:bCs/>
      </w:rPr>
      <w:t xml:space="preserve">GEMÜ Gebr. Müller Apparatebau GmbH &amp; Co. </w:t>
    </w:r>
    <w:r w:rsidRPr="004951EC">
      <w:rPr>
        <w:b w:val="0"/>
        <w:bCs/>
      </w:rPr>
      <w:t xml:space="preserve">KG • Gert-Müller-Platz 1 • 74635 </w:t>
    </w:r>
    <w:r>
      <w:rPr>
        <w:b w:val="0"/>
        <w:bCs/>
      </w:rPr>
      <w:t>Kupferzell</w:t>
    </w:r>
    <w:r w:rsidRPr="004951EC">
      <w:rPr>
        <w:b w:val="0"/>
        <w:bCs/>
      </w:rPr>
      <w:t xml:space="preserve"> • Germany</w:t>
    </w:r>
    <w:r w:rsidRPr="004951EC">
      <w:tab/>
      <w:t xml:space="preserve">Page </w:t>
    </w:r>
    <w:r>
      <w:fldChar w:fldCharType="begin"/>
    </w:r>
    <w:r w:rsidRPr="004951EC">
      <w:instrText>PAGE  \* Arabic  \* MERGEFORMAT</w:instrText>
    </w:r>
    <w:r>
      <w:fldChar w:fldCharType="separate"/>
    </w:r>
    <w:r>
      <w:t>1</w:t>
    </w:r>
    <w:r>
      <w:fldChar w:fldCharType="end"/>
    </w:r>
    <w:r w:rsidRPr="004951EC">
      <w:t xml:space="preserve"> </w:t>
    </w:r>
    <w:proofErr w:type="spellStart"/>
    <w:r w:rsidRPr="004951EC">
      <w:t>of</w:t>
    </w:r>
    <w:proofErr w:type="spellEnd"/>
    <w:r w:rsidRPr="004951EC">
      <w:t xml:space="preserve"> </w:t>
    </w:r>
    <w:r>
      <w:fldChar w:fldCharType="begin"/>
    </w:r>
    <w:r w:rsidRPr="004951EC">
      <w:instrText>NUMPAGES  \* Arabic  \* MERGEFORMAT</w:instrText>
    </w:r>
    <w:r>
      <w:fldChar w:fldCharType="separate"/>
    </w:r>
    <w:r>
      <w:t>1</w:t>
    </w:r>
    <w:r>
      <w:rPr>
        <w:noProof/>
      </w:rPr>
      <w:fldChar w:fldCharType="end"/>
    </w:r>
  </w:p>
  <w:p w14:paraId="11880460" w14:textId="77777777" w:rsidR="00880437" w:rsidRDefault="00880437" w:rsidP="00880437">
    <w:pPr>
      <w:pStyle w:val="Webseite"/>
      <w:rPr>
        <w:b w:val="0"/>
        <w:bCs/>
        <w:color w:val="auto"/>
        <w:lang w:val="en-US"/>
      </w:rPr>
    </w:pPr>
    <w:r w:rsidRPr="000E2FB8">
      <w:rPr>
        <w:b w:val="0"/>
        <w:bCs/>
        <w:color w:val="auto"/>
        <w:lang w:val="en-US"/>
      </w:rPr>
      <w:t xml:space="preserve">Phone: +49 7940 123-0 </w:t>
    </w:r>
  </w:p>
  <w:p w14:paraId="2A1C893A" w14:textId="77777777" w:rsidR="00880437" w:rsidRPr="000E2FB8" w:rsidRDefault="00880437" w:rsidP="00880437">
    <w:pPr>
      <w:pStyle w:val="Webseite"/>
      <w:rPr>
        <w:b w:val="0"/>
        <w:bCs/>
        <w:color w:val="auto"/>
        <w:lang w:val="en-US"/>
      </w:rPr>
    </w:pPr>
    <w:r>
      <w:rPr>
        <w:b w:val="0"/>
        <w:bCs/>
        <w:color w:val="auto"/>
        <w:lang w:val="en-US"/>
      </w:rPr>
      <w:t>gemu-group.com</w:t>
    </w:r>
  </w:p>
  <w:p w14:paraId="23C9524F" w14:textId="77777777" w:rsidR="00880437" w:rsidRPr="00BA7E08" w:rsidRDefault="00880437" w:rsidP="00880437">
    <w:pPr>
      <w:pStyle w:val="Webseite"/>
      <w:rPr>
        <w:color w:val="A6A6A6" w:themeColor="background1" w:themeShade="A6"/>
        <w:sz w:val="12"/>
        <w:szCs w:val="12"/>
        <w:lang w:val="en-US"/>
      </w:rPr>
    </w:pPr>
  </w:p>
  <w:p w14:paraId="7D676B2D" w14:textId="77777777" w:rsidR="00880437" w:rsidRPr="000E2FB8" w:rsidRDefault="00880437" w:rsidP="00880437">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Limited partnership: Head office: 7463</w:t>
    </w:r>
    <w:r>
      <w:rPr>
        <w:color w:val="A6A6A6" w:themeColor="background1" w:themeShade="A6"/>
        <w:sz w:val="10"/>
        <w:szCs w:val="10"/>
        <w:lang w:val="en-US"/>
      </w:rPr>
      <w:t>5</w:t>
    </w:r>
    <w:r w:rsidRPr="000E2FB8">
      <w:rPr>
        <w:color w:val="A6A6A6" w:themeColor="background1" w:themeShade="A6"/>
        <w:sz w:val="10"/>
        <w:szCs w:val="10"/>
        <w:lang w:val="en-US"/>
      </w:rPr>
      <w:t xml:space="preserve"> </w:t>
    </w:r>
    <w:r>
      <w:rPr>
        <w:color w:val="A6A6A6" w:themeColor="background1" w:themeShade="A6"/>
        <w:sz w:val="10"/>
        <w:szCs w:val="10"/>
        <w:lang w:val="en-US"/>
      </w:rPr>
      <w:t>Kupferzell, Germany</w:t>
    </w:r>
    <w:r w:rsidRPr="000E2FB8">
      <w:rPr>
        <w:color w:val="A6A6A6" w:themeColor="background1" w:themeShade="A6"/>
        <w:sz w:val="10"/>
        <w:szCs w:val="10"/>
        <w:lang w:val="en-US"/>
      </w:rPr>
      <w:t>; Stuttgart Court of Registry HRA 590394; Limited partner: Gebr. Müller GmbH; Stuttgart Court of Registry</w:t>
    </w:r>
    <w:r w:rsidRPr="00880437">
      <w:rPr>
        <w:color w:val="A6A6A6" w:themeColor="background1" w:themeShade="A6"/>
        <w:sz w:val="10"/>
        <w:szCs w:val="10"/>
        <w:lang w:val="en-US"/>
      </w:rPr>
      <w:t>, commercial register </w:t>
    </w:r>
    <w:r w:rsidRPr="000E2FB8">
      <w:rPr>
        <w:color w:val="A6A6A6" w:themeColor="background1" w:themeShade="A6"/>
        <w:sz w:val="10"/>
        <w:szCs w:val="10"/>
        <w:lang w:val="en-US"/>
      </w:rPr>
      <w:t>HRB 590215</w:t>
    </w:r>
  </w:p>
  <w:p w14:paraId="03878C52" w14:textId="77777777" w:rsidR="00880437" w:rsidRPr="00880437" w:rsidRDefault="00880437" w:rsidP="00880437">
    <w:pPr>
      <w:pStyle w:val="Fuzeile"/>
      <w:spacing w:line="240" w:lineRule="auto"/>
      <w:rPr>
        <w:color w:val="A6A6A6" w:themeColor="background1" w:themeShade="A6"/>
        <w:sz w:val="10"/>
        <w:szCs w:val="10"/>
        <w:lang w:val="en-US"/>
      </w:rPr>
    </w:pPr>
    <w:r w:rsidRPr="00880437">
      <w:rPr>
        <w:color w:val="A6A6A6" w:themeColor="background1" w:themeShade="A6"/>
        <w:sz w:val="10"/>
        <w:szCs w:val="10"/>
        <w:lang w:val="en-US"/>
      </w:rPr>
      <w:t>Managing Directors: Gert Müller, Stephan Müller, Matthias Fick</w:t>
    </w:r>
  </w:p>
  <w:p w14:paraId="021ED9B8" w14:textId="77777777" w:rsidR="00880437" w:rsidRPr="000E2FB8" w:rsidRDefault="00880437" w:rsidP="00880437">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VAT number: DE 146281082, Tax number: 76050/04341</w:t>
    </w:r>
  </w:p>
  <w:p w14:paraId="0C30EA51" w14:textId="77777777" w:rsidR="00DF0B01" w:rsidRPr="00BE3482"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A5806" w14:textId="77777777" w:rsidR="00DD60B0" w:rsidRDefault="00DD60B0">
      <w:r>
        <w:separator/>
      </w:r>
    </w:p>
  </w:footnote>
  <w:footnote w:type="continuationSeparator" w:id="0">
    <w:p w14:paraId="4D0200A8"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2D4D9" w14:textId="1446709B" w:rsidR="00DF0B01" w:rsidRDefault="00F41572" w:rsidP="008F1259">
    <w:pPr>
      <w:pStyle w:val="Kopfzeile"/>
      <w:tabs>
        <w:tab w:val="clear" w:pos="9072"/>
      </w:tabs>
      <w:ind w:right="-186"/>
      <w:jc w:val="right"/>
    </w:pPr>
    <w:r>
      <w:rPr>
        <w:noProof/>
      </w:rPr>
      <w:drawing>
        <wp:anchor distT="0" distB="0" distL="114300" distR="114300" simplePos="0" relativeHeight="251667968" behindDoc="0" locked="0" layoutInCell="1" allowOverlap="1" wp14:anchorId="6D5AB5D5" wp14:editId="4BFEB02D">
          <wp:simplePos x="0" y="0"/>
          <wp:positionH relativeFrom="margin">
            <wp:posOffset>0</wp:posOffset>
          </wp:positionH>
          <wp:positionV relativeFrom="margin">
            <wp:posOffset>-1133475</wp:posOffset>
          </wp:positionV>
          <wp:extent cx="1673860" cy="232410"/>
          <wp:effectExtent l="0" t="0" r="2540" b="0"/>
          <wp:wrapSquare wrapText="bothSides"/>
          <wp:docPr id="3" name="Grafik 3"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p>
  <w:p w14:paraId="3BEC6AC4" w14:textId="655863FE"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73F38" w14:textId="40D8DA65" w:rsidR="00DF0B01" w:rsidRDefault="00A41B33" w:rsidP="00BA7E08">
    <w:pPr>
      <w:pStyle w:val="Kopfzeile"/>
      <w:tabs>
        <w:tab w:val="clear" w:pos="9072"/>
        <w:tab w:val="right" w:pos="7088"/>
      </w:tabs>
    </w:pPr>
    <w:r>
      <w:rPr>
        <w:noProof/>
      </w:rPr>
      <w:drawing>
        <wp:anchor distT="0" distB="0" distL="114300" distR="114300" simplePos="0" relativeHeight="251665920" behindDoc="0" locked="0" layoutInCell="1" allowOverlap="1" wp14:anchorId="49FB79D3" wp14:editId="4F7D6BB1">
          <wp:simplePos x="0" y="0"/>
          <wp:positionH relativeFrom="margin">
            <wp:posOffset>0</wp:posOffset>
          </wp:positionH>
          <wp:positionV relativeFrom="margin">
            <wp:posOffset>-1130935</wp:posOffset>
          </wp:positionV>
          <wp:extent cx="1673860" cy="232410"/>
          <wp:effectExtent l="0" t="0" r="2540" b="0"/>
          <wp:wrapSquare wrapText="bothSides"/>
          <wp:docPr id="8" name="Grafik 8"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DF0B01">
      <w:rPr>
        <w:noProof/>
      </w:rPr>
      <mc:AlternateContent>
        <mc:Choice Requires="wps">
          <w:drawing>
            <wp:anchor distT="0" distB="0" distL="114300" distR="114300" simplePos="0" relativeHeight="251661824" behindDoc="0" locked="1" layoutInCell="1" allowOverlap="0" wp14:anchorId="307397DF" wp14:editId="36B3E653">
              <wp:simplePos x="0" y="0"/>
              <wp:positionH relativeFrom="margin">
                <wp:align>left</wp:align>
              </wp:positionH>
              <wp:positionV relativeFrom="margin">
                <wp:align>top</wp:align>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DAD66" w14:textId="77777777" w:rsidR="006E0C9F" w:rsidRPr="006D047F" w:rsidRDefault="006E0C9F" w:rsidP="006E0C9F">
                          <w:pPr>
                            <w:pStyle w:val="Kopfzeile"/>
                            <w:tabs>
                              <w:tab w:val="clear" w:pos="4536"/>
                              <w:tab w:val="clear" w:pos="9072"/>
                              <w:tab w:val="left" w:pos="8222"/>
                            </w:tabs>
                            <w:spacing w:line="360" w:lineRule="auto"/>
                            <w:rPr>
                              <w:rFonts w:cs="Arial"/>
                              <w:b/>
                              <w:bCs/>
                              <w:sz w:val="22"/>
                              <w:lang w:val="fr-FR"/>
                            </w:rPr>
                          </w:pPr>
                          <w:r w:rsidRPr="006D047F">
                            <w:rPr>
                              <w:rFonts w:cs="Arial"/>
                              <w:b/>
                              <w:bCs/>
                              <w:sz w:val="22"/>
                              <w:lang w:val="fr-FR"/>
                            </w:rPr>
                            <w:t>Communiqué de presse</w:t>
                          </w:r>
                        </w:p>
                        <w:p w14:paraId="65321D9C" w14:textId="77777777" w:rsidR="00DF0B01" w:rsidRPr="005645ED" w:rsidRDefault="00DF0B01" w:rsidP="005645ED">
                          <w:pPr>
                            <w:pStyle w:val="Titel"/>
                            <w:rPr>
                              <w:b w:val="0"/>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7397DF" id="_x0000_t202" coordsize="21600,21600" o:spt="202" path="m,l,21600r21600,l21600,xe">
              <v:stroke joinstyle="miter"/>
              <v:path gradientshapeok="t" o:connecttype="rect"/>
            </v:shapetype>
            <v:shape id="Text Box 3" o:spid="_x0000_s1026" type="#_x0000_t202" style="position:absolute;margin-left:0;margin-top:0;width:240.95pt;height:23.05pt;z-index:25166182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" o:allowoverlap="f" filled="f" stroked="f">
              <v:textbox inset="0,0,0,0">
                <w:txbxContent>
                  <w:p w14:paraId="7C3DAD66" w14:textId="77777777" w:rsidR="006E0C9F" w:rsidRPr="006D047F" w:rsidRDefault="006E0C9F" w:rsidP="006E0C9F">
                    <w:pPr>
                      <w:pStyle w:val="Kopfzeile"/>
                      <w:tabs>
                        <w:tab w:val="clear" w:pos="4536"/>
                        <w:tab w:val="clear" w:pos="9072"/>
                        <w:tab w:val="left" w:pos="8222"/>
                      </w:tabs>
                      <w:spacing w:line="360" w:lineRule="auto"/>
                      <w:rPr>
                        <w:rFonts w:cs="Arial"/>
                        <w:b/>
                        <w:bCs/>
                        <w:sz w:val="22"/>
                        <w:lang w:val="fr-FR"/>
                      </w:rPr>
                    </w:pPr>
                    <w:r w:rsidRPr="006D047F">
                      <w:rPr>
                        <w:rFonts w:cs="Arial"/>
                        <w:b/>
                        <w:bCs/>
                        <w:sz w:val="22"/>
                        <w:lang w:val="fr-FR"/>
                      </w:rPr>
                      <w:t>Communiqué de presse</w:t>
                    </w:r>
                  </w:p>
                  <w:p w14:paraId="65321D9C" w14:textId="77777777" w:rsidR="00DF0B01" w:rsidRPr="005645ED" w:rsidRDefault="00DF0B01" w:rsidP="005645ED">
                    <w:pPr>
                      <w:pStyle w:val="Titel"/>
                      <w:rPr>
                        <w:b w:val="0"/>
                        <w:sz w:val="24"/>
                        <w:szCs w:val="24"/>
                      </w:rPr>
                    </w:pPr>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70122909">
    <w:abstractNumId w:val="0"/>
  </w:num>
  <w:num w:numId="2" w16cid:durableId="2050372969">
    <w:abstractNumId w:val="2"/>
  </w:num>
  <w:num w:numId="3" w16cid:durableId="1668286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334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327ED"/>
    <w:rsid w:val="000443E2"/>
    <w:rsid w:val="000460C8"/>
    <w:rsid w:val="00050DB0"/>
    <w:rsid w:val="000732C8"/>
    <w:rsid w:val="00080FA8"/>
    <w:rsid w:val="0009194C"/>
    <w:rsid w:val="00092213"/>
    <w:rsid w:val="000B788E"/>
    <w:rsid w:val="000B7CB3"/>
    <w:rsid w:val="000E12DC"/>
    <w:rsid w:val="000F0D01"/>
    <w:rsid w:val="0010051D"/>
    <w:rsid w:val="00101789"/>
    <w:rsid w:val="00105447"/>
    <w:rsid w:val="00130D38"/>
    <w:rsid w:val="0013448B"/>
    <w:rsid w:val="001515AC"/>
    <w:rsid w:val="00154CF8"/>
    <w:rsid w:val="00155587"/>
    <w:rsid w:val="001652F1"/>
    <w:rsid w:val="00165612"/>
    <w:rsid w:val="0016721E"/>
    <w:rsid w:val="001746C4"/>
    <w:rsid w:val="00181F6B"/>
    <w:rsid w:val="001854C6"/>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29B4"/>
    <w:rsid w:val="00251978"/>
    <w:rsid w:val="00294B5A"/>
    <w:rsid w:val="002975A4"/>
    <w:rsid w:val="002A0855"/>
    <w:rsid w:val="002A204C"/>
    <w:rsid w:val="002B120B"/>
    <w:rsid w:val="002E7BEE"/>
    <w:rsid w:val="00305F51"/>
    <w:rsid w:val="0031460C"/>
    <w:rsid w:val="0031563C"/>
    <w:rsid w:val="00316E53"/>
    <w:rsid w:val="00322CB1"/>
    <w:rsid w:val="0033360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E2383"/>
    <w:rsid w:val="003E7BAE"/>
    <w:rsid w:val="003F2139"/>
    <w:rsid w:val="003F748A"/>
    <w:rsid w:val="00401E5B"/>
    <w:rsid w:val="0041214D"/>
    <w:rsid w:val="004138C6"/>
    <w:rsid w:val="00416142"/>
    <w:rsid w:val="004205AD"/>
    <w:rsid w:val="00421C9D"/>
    <w:rsid w:val="00427A8D"/>
    <w:rsid w:val="004673E1"/>
    <w:rsid w:val="0049316D"/>
    <w:rsid w:val="00495A0D"/>
    <w:rsid w:val="004A01E1"/>
    <w:rsid w:val="004A243A"/>
    <w:rsid w:val="004A5F7D"/>
    <w:rsid w:val="004C0DE7"/>
    <w:rsid w:val="004C52F6"/>
    <w:rsid w:val="004C6A28"/>
    <w:rsid w:val="0050531F"/>
    <w:rsid w:val="005136FA"/>
    <w:rsid w:val="005137A3"/>
    <w:rsid w:val="0051628F"/>
    <w:rsid w:val="00517635"/>
    <w:rsid w:val="0052138C"/>
    <w:rsid w:val="00523FC0"/>
    <w:rsid w:val="00526C02"/>
    <w:rsid w:val="00541077"/>
    <w:rsid w:val="00546804"/>
    <w:rsid w:val="00552C4E"/>
    <w:rsid w:val="005549B1"/>
    <w:rsid w:val="00557B11"/>
    <w:rsid w:val="005645ED"/>
    <w:rsid w:val="00566FB5"/>
    <w:rsid w:val="00574C6D"/>
    <w:rsid w:val="005978B4"/>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746DE"/>
    <w:rsid w:val="006854E8"/>
    <w:rsid w:val="0069406E"/>
    <w:rsid w:val="00695FA5"/>
    <w:rsid w:val="0069627D"/>
    <w:rsid w:val="00697EFD"/>
    <w:rsid w:val="006A393C"/>
    <w:rsid w:val="006B12C6"/>
    <w:rsid w:val="006B3B6F"/>
    <w:rsid w:val="006D047F"/>
    <w:rsid w:val="006D3EC9"/>
    <w:rsid w:val="006D5431"/>
    <w:rsid w:val="006E0C9F"/>
    <w:rsid w:val="006E41C5"/>
    <w:rsid w:val="006E461A"/>
    <w:rsid w:val="00731EB5"/>
    <w:rsid w:val="00734B9D"/>
    <w:rsid w:val="007375B4"/>
    <w:rsid w:val="00741903"/>
    <w:rsid w:val="00747743"/>
    <w:rsid w:val="00750448"/>
    <w:rsid w:val="00753936"/>
    <w:rsid w:val="00756062"/>
    <w:rsid w:val="007630C5"/>
    <w:rsid w:val="00766A2D"/>
    <w:rsid w:val="0079304E"/>
    <w:rsid w:val="00796322"/>
    <w:rsid w:val="00796C60"/>
    <w:rsid w:val="007A08CC"/>
    <w:rsid w:val="007B2565"/>
    <w:rsid w:val="007B6EB1"/>
    <w:rsid w:val="007C1BD5"/>
    <w:rsid w:val="007C5A73"/>
    <w:rsid w:val="007D2487"/>
    <w:rsid w:val="007E392B"/>
    <w:rsid w:val="007E7946"/>
    <w:rsid w:val="00807541"/>
    <w:rsid w:val="008132C2"/>
    <w:rsid w:val="00817547"/>
    <w:rsid w:val="008279E1"/>
    <w:rsid w:val="00827B88"/>
    <w:rsid w:val="00831819"/>
    <w:rsid w:val="008544E3"/>
    <w:rsid w:val="00856DA1"/>
    <w:rsid w:val="00874B37"/>
    <w:rsid w:val="00880437"/>
    <w:rsid w:val="008819AD"/>
    <w:rsid w:val="008860AD"/>
    <w:rsid w:val="0088749B"/>
    <w:rsid w:val="008A5C29"/>
    <w:rsid w:val="008B1A31"/>
    <w:rsid w:val="008B56D8"/>
    <w:rsid w:val="008C5A36"/>
    <w:rsid w:val="008D7016"/>
    <w:rsid w:val="008F0E39"/>
    <w:rsid w:val="008F1259"/>
    <w:rsid w:val="008F7DBE"/>
    <w:rsid w:val="009021DB"/>
    <w:rsid w:val="0092070C"/>
    <w:rsid w:val="00930D91"/>
    <w:rsid w:val="009369BE"/>
    <w:rsid w:val="00936DA0"/>
    <w:rsid w:val="00961638"/>
    <w:rsid w:val="00963CD3"/>
    <w:rsid w:val="009707CA"/>
    <w:rsid w:val="009879D4"/>
    <w:rsid w:val="00994B2C"/>
    <w:rsid w:val="009A16D4"/>
    <w:rsid w:val="009A501D"/>
    <w:rsid w:val="009A6592"/>
    <w:rsid w:val="009B511B"/>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3B3F"/>
    <w:rsid w:val="00A275BA"/>
    <w:rsid w:val="00A41B33"/>
    <w:rsid w:val="00A42804"/>
    <w:rsid w:val="00A42B3F"/>
    <w:rsid w:val="00A50799"/>
    <w:rsid w:val="00A509BE"/>
    <w:rsid w:val="00A55A90"/>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E5CF6"/>
    <w:rsid w:val="00AF65F0"/>
    <w:rsid w:val="00B17BF6"/>
    <w:rsid w:val="00B22DB8"/>
    <w:rsid w:val="00B26548"/>
    <w:rsid w:val="00B33CE0"/>
    <w:rsid w:val="00B37265"/>
    <w:rsid w:val="00B432E9"/>
    <w:rsid w:val="00B55B7C"/>
    <w:rsid w:val="00B720A7"/>
    <w:rsid w:val="00B7573E"/>
    <w:rsid w:val="00B76EC4"/>
    <w:rsid w:val="00B8709C"/>
    <w:rsid w:val="00B918B1"/>
    <w:rsid w:val="00B91E47"/>
    <w:rsid w:val="00B9217D"/>
    <w:rsid w:val="00BA7E08"/>
    <w:rsid w:val="00BB1983"/>
    <w:rsid w:val="00BC51EA"/>
    <w:rsid w:val="00BC617B"/>
    <w:rsid w:val="00BE0C8C"/>
    <w:rsid w:val="00BE3482"/>
    <w:rsid w:val="00C1306E"/>
    <w:rsid w:val="00C41618"/>
    <w:rsid w:val="00C4188C"/>
    <w:rsid w:val="00C44B03"/>
    <w:rsid w:val="00C5559A"/>
    <w:rsid w:val="00C6663D"/>
    <w:rsid w:val="00C72D6F"/>
    <w:rsid w:val="00C777A1"/>
    <w:rsid w:val="00C84658"/>
    <w:rsid w:val="00C87274"/>
    <w:rsid w:val="00CA1E52"/>
    <w:rsid w:val="00CA3B5D"/>
    <w:rsid w:val="00CB2266"/>
    <w:rsid w:val="00CB6B5F"/>
    <w:rsid w:val="00CC0271"/>
    <w:rsid w:val="00CC0E0C"/>
    <w:rsid w:val="00CC1849"/>
    <w:rsid w:val="00CD44A7"/>
    <w:rsid w:val="00CE0856"/>
    <w:rsid w:val="00CE54FD"/>
    <w:rsid w:val="00D251F2"/>
    <w:rsid w:val="00D56435"/>
    <w:rsid w:val="00D619B7"/>
    <w:rsid w:val="00D92FED"/>
    <w:rsid w:val="00DA00AF"/>
    <w:rsid w:val="00DA55EA"/>
    <w:rsid w:val="00DA5BCB"/>
    <w:rsid w:val="00DB2188"/>
    <w:rsid w:val="00DB52D9"/>
    <w:rsid w:val="00DC0DEF"/>
    <w:rsid w:val="00DC210D"/>
    <w:rsid w:val="00DC35B3"/>
    <w:rsid w:val="00DD0ADE"/>
    <w:rsid w:val="00DD60B0"/>
    <w:rsid w:val="00DD67EE"/>
    <w:rsid w:val="00DE11BC"/>
    <w:rsid w:val="00DE7E33"/>
    <w:rsid w:val="00DF0B01"/>
    <w:rsid w:val="00E233F6"/>
    <w:rsid w:val="00E25683"/>
    <w:rsid w:val="00E35F2A"/>
    <w:rsid w:val="00E5075F"/>
    <w:rsid w:val="00E70F64"/>
    <w:rsid w:val="00E718DB"/>
    <w:rsid w:val="00E76A3E"/>
    <w:rsid w:val="00E77CB9"/>
    <w:rsid w:val="00E867C7"/>
    <w:rsid w:val="00EA0C47"/>
    <w:rsid w:val="00EB59E1"/>
    <w:rsid w:val="00EC29F4"/>
    <w:rsid w:val="00ED4841"/>
    <w:rsid w:val="00EE2F87"/>
    <w:rsid w:val="00EF5A6D"/>
    <w:rsid w:val="00EF626D"/>
    <w:rsid w:val="00EF7DC5"/>
    <w:rsid w:val="00F01865"/>
    <w:rsid w:val="00F1417C"/>
    <w:rsid w:val="00F3788D"/>
    <w:rsid w:val="00F40475"/>
    <w:rsid w:val="00F40C82"/>
    <w:rsid w:val="00F41572"/>
    <w:rsid w:val="00F4545B"/>
    <w:rsid w:val="00F47E6A"/>
    <w:rsid w:val="00F5056A"/>
    <w:rsid w:val="00F517FE"/>
    <w:rsid w:val="00F5297A"/>
    <w:rsid w:val="00F631D9"/>
    <w:rsid w:val="00F85378"/>
    <w:rsid w:val="00F959FC"/>
    <w:rsid w:val="00FA189E"/>
    <w:rsid w:val="00FA2187"/>
    <w:rsid w:val="00FB4008"/>
    <w:rsid w:val="00FB50D8"/>
    <w:rsid w:val="00FC5835"/>
    <w:rsid w:val="00FC64EE"/>
    <w:rsid w:val="00FC6C04"/>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3473"/>
    <o:shapelayout v:ext="edit">
      <o:idmap v:ext="edit" data="1"/>
    </o:shapelayout>
  </w:shapeDefaults>
  <w:decimalSymbol w:val=","/>
  <w:listSeparator w:val=";"/>
  <w14:docId w14:val="6BA2FBFA"/>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 w:type="paragraph" w:customStyle="1" w:styleId="bodytext">
    <w:name w:val="bodytext"/>
    <w:basedOn w:val="Standard"/>
    <w:rsid w:val="006D3EC9"/>
    <w:pPr>
      <w:spacing w:before="100" w:beforeAutospacing="1" w:after="100" w:afterAutospacing="1" w:line="240" w:lineRule="auto"/>
    </w:pPr>
    <w:rPr>
      <w:rFonts w:ascii="Times New Roman"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992753576">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788574191">
      <w:bodyDiv w:val="1"/>
      <w:marLeft w:val="0"/>
      <w:marRight w:val="0"/>
      <w:marTop w:val="0"/>
      <w:marBottom w:val="0"/>
      <w:divBdr>
        <w:top w:val="none" w:sz="0" w:space="0" w:color="auto"/>
        <w:left w:val="none" w:sz="0" w:space="0" w:color="auto"/>
        <w:bottom w:val="none" w:sz="0" w:space="0" w:color="auto"/>
        <w:right w:val="none" w:sz="0" w:space="0" w:color="auto"/>
      </w:divBdr>
    </w:div>
    <w:div w:id="185113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s://www.gemu-group.com/fr_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2.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Display>DocumentLibraryForm</Display>
  <Edit>DocumentLibraryForm</Edit>
  <New>DocumentLibraryForm</New>
  <MobileDisplayFormUrl/>
  <MobileEditFormUrl/>
  <MobileNewFormUrl/>
</FormTemplates>
</file>

<file path=customXml/item5.xml><?xml version="1.0" encoding="utf-8"?>
<?mso-contentType ?>
<FormTemplates xmlns="http://schemas.microsoft.com/sharepoint/v3/contenttype/forms">
  <Display>NFListDisplayForm</Display>
  <Edit>NFListEditForm</Edit>
  <New>NFListEditForm</New>
</FormTemplates>
</file>

<file path=customXml/item6.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2.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3.xml><?xml version="1.0" encoding="utf-8"?>
<ds:datastoreItem xmlns:ds="http://schemas.openxmlformats.org/officeDocument/2006/customXml" ds:itemID="{867487B7-CC0C-4F4F-A7F6-A718A9388BD1}">
  <ds:schemaRefs>
    <ds:schemaRef ds:uri="http://schemas.openxmlformats.org/officeDocument/2006/bibliography"/>
  </ds:schemaRefs>
</ds:datastoreItem>
</file>

<file path=customXml/itemProps4.xml><?xml version="1.0" encoding="utf-8"?>
<ds:datastoreItem xmlns:ds="http://schemas.openxmlformats.org/officeDocument/2006/customXml" ds:itemID="{F42713FA-5D36-4139-BE4C-467001401095}">
  <ds:schemaRefs/>
</ds:datastoreItem>
</file>

<file path=customXml/itemProps5.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6.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931</Words>
  <Characters>5434</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42</cp:revision>
  <cp:lastPrinted>2017-08-14T14:05:00Z</cp:lastPrinted>
  <dcterms:created xsi:type="dcterms:W3CDTF">2020-07-20T09:17:00Z</dcterms:created>
  <dcterms:modified xsi:type="dcterms:W3CDTF">2025-10-27T14:50:00Z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