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30A" w14:textId="77777777" w:rsidR="002678D1" w:rsidRDefault="002678D1" w:rsidP="002678D1">
      <w:pPr>
        <w:tabs>
          <w:tab w:val="left" w:pos="7088"/>
        </w:tabs>
        <w:spacing w:line="360" w:lineRule="auto"/>
        <w:ind w:right="658"/>
        <w:rPr>
          <w:sz w:val="16"/>
          <w:lang w:val="en-US"/>
        </w:rPr>
      </w:pPr>
    </w:p>
    <w:p w14:paraId="432FE284" w14:textId="77777777" w:rsidR="002678D1" w:rsidRDefault="002678D1" w:rsidP="002678D1">
      <w:pPr>
        <w:tabs>
          <w:tab w:val="left" w:pos="7088"/>
        </w:tabs>
        <w:spacing w:line="360" w:lineRule="auto"/>
        <w:ind w:right="658"/>
        <w:rPr>
          <w:sz w:val="16"/>
          <w:lang w:val="en-US"/>
        </w:rPr>
      </w:pPr>
    </w:p>
    <w:p w14:paraId="2A33389C" w14:textId="686BC3F8" w:rsidR="00A65266" w:rsidRDefault="002678D1" w:rsidP="002678D1">
      <w:pPr>
        <w:tabs>
          <w:tab w:val="left" w:pos="7088"/>
        </w:tabs>
        <w:spacing w:line="360" w:lineRule="auto"/>
        <w:ind w:right="658"/>
        <w:rPr>
          <w:sz w:val="16"/>
          <w:lang w:val="en-US"/>
        </w:rPr>
      </w:pPr>
      <w:r>
        <w:rPr>
          <w:sz w:val="16"/>
          <w:lang w:val="en-US"/>
        </w:rPr>
        <w:tab/>
      </w:r>
      <w:r>
        <w:rPr>
          <w:sz w:val="16"/>
          <w:lang w:val="en-US"/>
        </w:rPr>
        <w:tab/>
        <w:t xml:space="preserve">              </w:t>
      </w:r>
      <w:r w:rsidR="00665ED6">
        <w:rPr>
          <w:sz w:val="16"/>
          <w:lang w:val="en-US"/>
        </w:rPr>
        <w:t>23</w:t>
      </w:r>
      <w:r w:rsidR="00665ED6">
        <w:rPr>
          <w:sz w:val="16"/>
          <w:vertAlign w:val="superscript"/>
          <w:lang w:val="en-US"/>
        </w:rPr>
        <w:t>rd</w:t>
      </w:r>
      <w:r w:rsidR="00E25683">
        <w:rPr>
          <w:sz w:val="16"/>
          <w:lang w:val="en-US"/>
        </w:rPr>
        <w:t xml:space="preserve"> </w:t>
      </w:r>
      <w:r w:rsidR="006E461A">
        <w:rPr>
          <w:sz w:val="16"/>
          <w:lang w:val="en-US"/>
        </w:rPr>
        <w:t>October</w:t>
      </w:r>
      <w:r w:rsidR="008B56D8" w:rsidRPr="00750448">
        <w:rPr>
          <w:sz w:val="16"/>
          <w:lang w:val="en-US"/>
        </w:rPr>
        <w:t xml:space="preserve"> 202</w:t>
      </w:r>
      <w:r w:rsidR="00F14203">
        <w:rPr>
          <w:sz w:val="16"/>
          <w:lang w:val="en-US"/>
        </w:rPr>
        <w:t>4</w:t>
      </w:r>
    </w:p>
    <w:p w14:paraId="758584C6" w14:textId="77777777" w:rsidR="002678D1" w:rsidRPr="00F514AB" w:rsidRDefault="002678D1" w:rsidP="002678D1">
      <w:pPr>
        <w:tabs>
          <w:tab w:val="left" w:pos="7088"/>
        </w:tabs>
        <w:spacing w:line="360" w:lineRule="auto"/>
        <w:ind w:right="658"/>
        <w:rPr>
          <w:sz w:val="14"/>
          <w:szCs w:val="18"/>
          <w:lang w:val="en-US"/>
        </w:rPr>
      </w:pPr>
    </w:p>
    <w:p w14:paraId="21805F63" w14:textId="4ADF7222" w:rsidR="00665ED6" w:rsidRPr="002678D1" w:rsidRDefault="00665ED6" w:rsidP="00665ED6">
      <w:pPr>
        <w:spacing w:line="360" w:lineRule="auto"/>
        <w:rPr>
          <w:b/>
          <w:bCs/>
          <w:sz w:val="21"/>
          <w:szCs w:val="24"/>
          <w:lang w:val="en-US"/>
        </w:rPr>
      </w:pPr>
      <w:r w:rsidRPr="002678D1">
        <w:rPr>
          <w:rFonts w:eastAsiaTheme="minorEastAsia" w:cstheme="minorBidi"/>
          <w:b/>
          <w:sz w:val="24"/>
          <w:szCs w:val="21"/>
          <w:lang w:val="en-US"/>
        </w:rPr>
        <w:t>GEMÜ presents CONEXO 2025 – The new era of digital plant management</w:t>
      </w:r>
    </w:p>
    <w:p w14:paraId="6666666F" w14:textId="77777777" w:rsidR="00665ED6" w:rsidRDefault="00665ED6" w:rsidP="00665ED6">
      <w:pPr>
        <w:spacing w:line="360" w:lineRule="auto"/>
        <w:rPr>
          <w:rFonts w:eastAsiaTheme="minorEastAsia" w:cstheme="minorBidi"/>
          <w:b/>
          <w:lang w:val="en-GB"/>
        </w:rPr>
      </w:pPr>
    </w:p>
    <w:p w14:paraId="4460EF5B" w14:textId="10534AB9" w:rsidR="00665ED6" w:rsidRDefault="00665ED6" w:rsidP="00665ED6">
      <w:pPr>
        <w:spacing w:line="360" w:lineRule="auto"/>
        <w:rPr>
          <w:rFonts w:eastAsiaTheme="minorEastAsia" w:cstheme="minorBidi"/>
          <w:b/>
          <w:lang w:val="en-GB"/>
        </w:rPr>
      </w:pPr>
      <w:r>
        <w:rPr>
          <w:rFonts w:eastAsiaTheme="minorEastAsia" w:cstheme="minorBidi"/>
          <w:b/>
          <w:lang w:val="en-GB"/>
        </w:rPr>
        <w:t>The GEMÜ Group, a specialist in valve, measurement and control systems, is introducing CONEXO 2025, the next generation of its digital solution for cross-manufacturer plant lifecycle management. This latest version sets standards in the digital identification and management of components and creates end-to-end transparency across the entire life cycle – from commissioning right through to disposal.</w:t>
      </w:r>
    </w:p>
    <w:p w14:paraId="531B23BB" w14:textId="77777777" w:rsidR="00665ED6" w:rsidRPr="00665ED6" w:rsidRDefault="00665ED6" w:rsidP="00665ED6">
      <w:pPr>
        <w:spacing w:line="360" w:lineRule="auto"/>
        <w:rPr>
          <w:b/>
          <w:bCs/>
          <w:lang w:val="en-US"/>
        </w:rPr>
      </w:pPr>
    </w:p>
    <w:p w14:paraId="55CB4ACD" w14:textId="77777777" w:rsidR="00665ED6" w:rsidRPr="00665ED6" w:rsidRDefault="00665ED6" w:rsidP="00665ED6">
      <w:pPr>
        <w:spacing w:line="360" w:lineRule="auto"/>
        <w:rPr>
          <w:lang w:val="en-US"/>
        </w:rPr>
      </w:pPr>
      <w:r>
        <w:rPr>
          <w:rFonts w:eastAsiaTheme="minorEastAsia" w:cstheme="minorBidi"/>
          <w:lang w:val="en-GB"/>
        </w:rPr>
        <w:t xml:space="preserve">Using modern technologies such as RFID, QR codes and </w:t>
      </w:r>
      <w:proofErr w:type="spellStart"/>
      <w:r>
        <w:rPr>
          <w:rFonts w:eastAsiaTheme="minorEastAsia" w:cstheme="minorBidi"/>
          <w:lang w:val="en-GB"/>
        </w:rPr>
        <w:t>DataMatrix</w:t>
      </w:r>
      <w:proofErr w:type="spellEnd"/>
      <w:r>
        <w:rPr>
          <w:rFonts w:eastAsiaTheme="minorEastAsia" w:cstheme="minorBidi"/>
          <w:lang w:val="en-GB"/>
        </w:rPr>
        <w:t>, CONEXO 2025 enables components to be clearly identified directly in the plant and links them to digital product data, maintenance information and obsolescence statuses.</w:t>
      </w:r>
    </w:p>
    <w:p w14:paraId="73018505" w14:textId="77777777" w:rsidR="00665ED6" w:rsidRDefault="00665ED6" w:rsidP="00665ED6">
      <w:pPr>
        <w:spacing w:line="360" w:lineRule="auto"/>
        <w:rPr>
          <w:rFonts w:eastAsiaTheme="minorEastAsia" w:cstheme="minorBidi"/>
          <w:lang w:val="en-GB"/>
        </w:rPr>
      </w:pPr>
      <w:r>
        <w:rPr>
          <w:rFonts w:eastAsiaTheme="minorEastAsia" w:cstheme="minorBidi"/>
          <w:lang w:val="en-GB"/>
        </w:rPr>
        <w:t xml:space="preserve">A simple scan is all it takes to give service technicians immediate access to relevant documents, certificates, maintenance histories and upcoming tasks. </w:t>
      </w:r>
    </w:p>
    <w:p w14:paraId="576C084A" w14:textId="77777777" w:rsidR="00665ED6" w:rsidRPr="00665ED6" w:rsidRDefault="00665ED6" w:rsidP="00665ED6">
      <w:pPr>
        <w:spacing w:line="360" w:lineRule="auto"/>
        <w:rPr>
          <w:lang w:val="en-US"/>
        </w:rPr>
      </w:pPr>
    </w:p>
    <w:p w14:paraId="1C58F5E6" w14:textId="77777777" w:rsidR="00665ED6" w:rsidRPr="00665ED6" w:rsidRDefault="00665ED6" w:rsidP="00665ED6">
      <w:pPr>
        <w:spacing w:line="360" w:lineRule="auto"/>
        <w:rPr>
          <w:b/>
          <w:bCs/>
          <w:lang w:val="en-US"/>
        </w:rPr>
      </w:pPr>
      <w:r>
        <w:rPr>
          <w:rFonts w:eastAsiaTheme="minorEastAsia" w:cstheme="minorBidi"/>
          <w:b/>
          <w:lang w:val="en-GB"/>
        </w:rPr>
        <w:t>Open. Standards-based. Future-proof.</w:t>
      </w:r>
    </w:p>
    <w:p w14:paraId="1BDE2D62" w14:textId="77777777" w:rsidR="00665ED6" w:rsidRDefault="00665ED6" w:rsidP="00665ED6">
      <w:pPr>
        <w:spacing w:line="360" w:lineRule="auto"/>
        <w:rPr>
          <w:rFonts w:eastAsiaTheme="minorEastAsia" w:cstheme="minorBidi"/>
          <w:lang w:val="en-GB"/>
        </w:rPr>
      </w:pPr>
      <w:r>
        <w:rPr>
          <w:rFonts w:eastAsiaTheme="minorEastAsia" w:cstheme="minorBidi"/>
          <w:lang w:val="en-GB"/>
        </w:rPr>
        <w:t xml:space="preserve">CONEXO 2025 is based on international standards and already meets the requirements of upcoming regulations such as the Digital Product Passport (DPP). Clear identification is achieved using QR codes, </w:t>
      </w:r>
      <w:proofErr w:type="spellStart"/>
      <w:r>
        <w:rPr>
          <w:rFonts w:eastAsiaTheme="minorEastAsia" w:cstheme="minorBidi"/>
          <w:lang w:val="en-GB"/>
        </w:rPr>
        <w:t>DataMatrix</w:t>
      </w:r>
      <w:proofErr w:type="spellEnd"/>
      <w:r>
        <w:rPr>
          <w:rFonts w:eastAsiaTheme="minorEastAsia" w:cstheme="minorBidi"/>
          <w:lang w:val="en-GB"/>
        </w:rPr>
        <w:t xml:space="preserve"> and UHF RFID (860–960 MHz), ensuring cross-manufacturer interoperability in accordance with ISO/IEC standards. The new EU ESPR regulation will make DPP mandatory for the first product groups from 2027 onwards. CONEXO 2025 is set up to process all relevant data and link it to the Asset Administration Shell (AAS). Machine-readable identifiers in accordance with IEC 61406 serve as URL-based references directly on the physical object and enable access to digital information, for example via 2D codes or NFC tags. Furthermore, CONEXO utilises AAS as a non-proprietary standard for digital twins in Industry 4.0 and relies on the AASX open file format to facilitate exchange between operators, manufacturers, and service partners.</w:t>
      </w:r>
    </w:p>
    <w:p w14:paraId="05978D5E" w14:textId="77777777" w:rsidR="00665ED6" w:rsidRPr="00665ED6" w:rsidRDefault="00665ED6" w:rsidP="00665ED6">
      <w:pPr>
        <w:spacing w:line="360" w:lineRule="auto"/>
        <w:rPr>
          <w:lang w:val="en-US"/>
        </w:rPr>
      </w:pPr>
    </w:p>
    <w:p w14:paraId="357FBE40" w14:textId="77777777" w:rsidR="00665ED6" w:rsidRPr="002678D1" w:rsidRDefault="00665ED6" w:rsidP="00665ED6">
      <w:pPr>
        <w:spacing w:line="360" w:lineRule="auto"/>
        <w:rPr>
          <w:b/>
          <w:bCs/>
          <w:lang w:val="en-US"/>
        </w:rPr>
      </w:pPr>
      <w:r>
        <w:rPr>
          <w:rFonts w:eastAsiaTheme="minorEastAsia" w:cstheme="minorBidi"/>
          <w:b/>
          <w:lang w:val="en-GB"/>
        </w:rPr>
        <w:t>New functions with CONEXO 2025</w:t>
      </w:r>
    </w:p>
    <w:p w14:paraId="00B27931" w14:textId="77777777" w:rsidR="00665ED6" w:rsidRDefault="00665ED6" w:rsidP="00665ED6">
      <w:pPr>
        <w:spacing w:line="360" w:lineRule="auto"/>
        <w:rPr>
          <w:rFonts w:eastAsiaTheme="minorEastAsia" w:cstheme="minorBidi"/>
          <w:lang w:val="en-GB"/>
        </w:rPr>
      </w:pPr>
      <w:r>
        <w:rPr>
          <w:rFonts w:eastAsiaTheme="minorEastAsia" w:cstheme="minorBidi"/>
          <w:lang w:val="en-GB"/>
        </w:rPr>
        <w:t xml:space="preserve">CONEXO 2025 offers a multitude of new features that make digital asset management even more efficient and future-proof. In the area of obsolescence management, the solution allows critical situations, such as recalls or product discontinuations, to be detected at an early stage and automatically creates appropriate replacement tasks. Component management has been significantly expanded: Alias names allow individual </w:t>
      </w:r>
      <w:r>
        <w:rPr>
          <w:rFonts w:eastAsiaTheme="minorEastAsia" w:cstheme="minorBidi"/>
          <w:lang w:val="en-GB"/>
        </w:rPr>
        <w:lastRenderedPageBreak/>
        <w:t xml:space="preserve">designations; location paths show the exact installation situation; complete subassemblies can now be removed </w:t>
      </w:r>
      <w:proofErr w:type="spellStart"/>
      <w:r>
        <w:rPr>
          <w:rFonts w:eastAsiaTheme="minorEastAsia" w:cstheme="minorBidi"/>
          <w:lang w:val="en-GB"/>
        </w:rPr>
        <w:t>en</w:t>
      </w:r>
      <w:proofErr w:type="spellEnd"/>
      <w:r>
        <w:rPr>
          <w:rFonts w:eastAsiaTheme="minorEastAsia" w:cstheme="minorBidi"/>
          <w:lang w:val="en-GB"/>
        </w:rPr>
        <w:t xml:space="preserve"> masse; all associated documents can be downloaded as ZIP files; and identification on packaging labels has been improved.</w:t>
      </w:r>
    </w:p>
    <w:p w14:paraId="66179974" w14:textId="77777777" w:rsidR="00665ED6" w:rsidRPr="00665ED6" w:rsidRDefault="00665ED6" w:rsidP="00665ED6">
      <w:pPr>
        <w:spacing w:line="360" w:lineRule="auto"/>
        <w:rPr>
          <w:lang w:val="en-US"/>
        </w:rPr>
      </w:pPr>
    </w:p>
    <w:p w14:paraId="59DFFB68" w14:textId="77777777" w:rsidR="00665ED6" w:rsidRDefault="00665ED6" w:rsidP="00665ED6">
      <w:pPr>
        <w:spacing w:line="360" w:lineRule="auto"/>
        <w:rPr>
          <w:rFonts w:eastAsiaTheme="minorEastAsia" w:cstheme="minorBidi"/>
          <w:lang w:val="en-GB"/>
        </w:rPr>
      </w:pPr>
      <w:r>
        <w:rPr>
          <w:rFonts w:eastAsiaTheme="minorEastAsia" w:cstheme="minorBidi"/>
          <w:lang w:val="en-GB"/>
        </w:rPr>
        <w:t>The management of functional locations has also been optimized. A QR code can be generated for each space, and robust import/export with an “Identification Alias” ensures seamless data transfer. Maintenance tasks can now be supplemented with subtasks, a calendar view makes planning easier, and internal and external notes provide additional space for information. In product management, CONEXO 2025 supports Excel imports and allows custom manufacturer attributes to be added. A new mobile device overview displays all connected devices, including their information and synchronisation status – for maximum transparency and verification.</w:t>
      </w:r>
    </w:p>
    <w:p w14:paraId="2F3DA9E8" w14:textId="77777777" w:rsidR="00665ED6" w:rsidRPr="00665ED6" w:rsidRDefault="00665ED6" w:rsidP="00665ED6">
      <w:pPr>
        <w:spacing w:line="360" w:lineRule="auto"/>
        <w:rPr>
          <w:lang w:val="en-US"/>
        </w:rPr>
      </w:pPr>
    </w:p>
    <w:p w14:paraId="00BC9DE0" w14:textId="77777777" w:rsidR="00665ED6" w:rsidRPr="00665ED6" w:rsidRDefault="00665ED6" w:rsidP="00665ED6">
      <w:pPr>
        <w:spacing w:line="360" w:lineRule="auto"/>
        <w:rPr>
          <w:b/>
          <w:bCs/>
          <w:lang w:val="en-US"/>
        </w:rPr>
      </w:pPr>
      <w:r>
        <w:rPr>
          <w:rFonts w:eastAsiaTheme="minorEastAsia" w:cstheme="minorBidi"/>
          <w:b/>
          <w:lang w:val="en-GB"/>
        </w:rPr>
        <w:t>Added value</w:t>
      </w:r>
    </w:p>
    <w:p w14:paraId="5F015830" w14:textId="77777777" w:rsidR="00665ED6" w:rsidRDefault="00665ED6" w:rsidP="00665ED6">
      <w:pPr>
        <w:spacing w:line="360" w:lineRule="auto"/>
        <w:rPr>
          <w:rFonts w:eastAsiaTheme="minorEastAsia" w:cstheme="minorBidi"/>
          <w:lang w:val="en-GB"/>
        </w:rPr>
      </w:pPr>
      <w:r>
        <w:rPr>
          <w:rFonts w:eastAsiaTheme="minorEastAsia" w:cstheme="minorBidi"/>
          <w:lang w:val="en-GB"/>
        </w:rPr>
        <w:t>With CONEXO 2025, users benefit from significantly improved security and compliance: The clear identification of components and the complete documentation of all measures reduce risks and facilitate audits – right through to recalls and certification requirements. At the same time, the solution increases productivity in service and maintenance by minimising search times, avoiding media discontinuity and enabling a higher “right first time” rate. Due to the scalable connection of physical identification methods such as QR codes, RFID and IEC 61406 with digital twins (AAS/AASX) and the Digital Product Passport (DPP), CONEXO 2025 is ideally equipped to meet future requirements – across manufacturers and open to all systems.</w:t>
      </w:r>
    </w:p>
    <w:p w14:paraId="3E9F295A" w14:textId="77777777" w:rsidR="00665ED6" w:rsidRPr="00665ED6" w:rsidRDefault="00665ED6" w:rsidP="00665ED6">
      <w:pPr>
        <w:spacing w:line="360" w:lineRule="auto"/>
        <w:rPr>
          <w:lang w:val="en-US"/>
        </w:rPr>
      </w:pPr>
    </w:p>
    <w:p w14:paraId="51A12405" w14:textId="77777777" w:rsidR="00665ED6" w:rsidRPr="00665ED6" w:rsidRDefault="00665ED6" w:rsidP="00665ED6">
      <w:pPr>
        <w:spacing w:line="360" w:lineRule="auto"/>
        <w:rPr>
          <w:lang w:val="en-US"/>
        </w:rPr>
      </w:pPr>
      <w:r>
        <w:rPr>
          <w:rFonts w:eastAsiaTheme="minorEastAsia" w:cstheme="minorBidi"/>
          <w:lang w:val="en-GB"/>
        </w:rPr>
        <w:t>With CONEXO 2025, GEMÜ is presenting a powerful and future-proof solution for digital plant management that meets the growing requirements for transparency, efficiency and standard compliance, paving the way for a new era of industrial digitalization.</w:t>
      </w:r>
    </w:p>
    <w:p w14:paraId="45BCB69C" w14:textId="77777777" w:rsidR="00665ED6" w:rsidRDefault="00665ED6" w:rsidP="00F514AB">
      <w:pPr>
        <w:spacing w:line="360" w:lineRule="auto"/>
        <w:ind w:right="338"/>
        <w:rPr>
          <w:rFonts w:cs="Arial"/>
          <w:b/>
          <w:lang w:val="en-US"/>
        </w:rPr>
      </w:pPr>
    </w:p>
    <w:p w14:paraId="37F24E4B" w14:textId="77777777" w:rsidR="00665ED6" w:rsidRDefault="00665ED6" w:rsidP="00F514AB">
      <w:pPr>
        <w:spacing w:line="360" w:lineRule="auto"/>
        <w:ind w:right="338"/>
        <w:rPr>
          <w:rFonts w:cs="Arial"/>
          <w:b/>
          <w:lang w:val="en-US"/>
        </w:rPr>
      </w:pPr>
    </w:p>
    <w:p w14:paraId="08A83B53" w14:textId="77777777" w:rsidR="00665ED6" w:rsidRDefault="00665ED6" w:rsidP="00F514AB">
      <w:pPr>
        <w:spacing w:line="360" w:lineRule="auto"/>
        <w:ind w:right="338"/>
        <w:rPr>
          <w:rFonts w:cs="Arial"/>
          <w:b/>
          <w:lang w:val="en-US"/>
        </w:rPr>
      </w:pPr>
    </w:p>
    <w:p w14:paraId="3BBDB934" w14:textId="65B26A63" w:rsidR="0052138C" w:rsidRPr="005A7241" w:rsidRDefault="00347944" w:rsidP="00F514AB">
      <w:pPr>
        <w:spacing w:line="360" w:lineRule="auto"/>
        <w:ind w:right="338"/>
        <w:rPr>
          <w:rFonts w:cs="Arial"/>
          <w:b/>
          <w:lang w:val="en-US"/>
        </w:rPr>
      </w:pPr>
      <w:r w:rsidRPr="005A7241">
        <w:rPr>
          <w:rFonts w:cs="Arial"/>
          <w:b/>
          <w:lang w:val="en-US"/>
        </w:rPr>
        <w:t>About us</w:t>
      </w:r>
    </w:p>
    <w:p w14:paraId="24F5250A" w14:textId="77777777" w:rsidR="00347944" w:rsidRPr="005A7241" w:rsidRDefault="00347944" w:rsidP="00F514AB">
      <w:pPr>
        <w:spacing w:line="360" w:lineRule="auto"/>
        <w:ind w:right="338"/>
        <w:rPr>
          <w:rFonts w:cs="Arial"/>
          <w:lang w:val="en-US"/>
        </w:rPr>
      </w:pP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7127670A" w:rsidR="00F4545B" w:rsidRPr="00F14203" w:rsidRDefault="00F4545B" w:rsidP="00F14203">
      <w:pPr>
        <w:autoSpaceDE w:val="0"/>
        <w:autoSpaceDN w:val="0"/>
        <w:adjustRightInd w:val="0"/>
        <w:spacing w:line="360" w:lineRule="auto"/>
        <w:ind w:right="338"/>
        <w:rPr>
          <w:rFonts w:cs="Arial"/>
          <w:iCs/>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In 202</w:t>
      </w:r>
      <w:r w:rsidR="00EF7DEB">
        <w:rPr>
          <w:rFonts w:cs="Arial"/>
          <w:lang w:val="en-US"/>
        </w:rPr>
        <w:t>4</w:t>
      </w:r>
      <w:r w:rsidR="00F14203" w:rsidRPr="007802DB">
        <w:rPr>
          <w:rFonts w:cs="Arial"/>
          <w:lang w:val="en-US"/>
        </w:rPr>
        <w:t>, the group of companies achieved a turnover of over 5</w:t>
      </w:r>
      <w:r w:rsidR="00EF7DEB">
        <w:rPr>
          <w:rFonts w:cs="Arial"/>
          <w:lang w:val="en-US"/>
        </w:rPr>
        <w:t>25</w:t>
      </w:r>
      <w:r w:rsidR="00F14203" w:rsidRPr="007802DB">
        <w:rPr>
          <w:rFonts w:cs="Arial"/>
          <w:lang w:val="en-US"/>
        </w:rPr>
        <w:t xml:space="preserve"> million euros and </w:t>
      </w:r>
      <w:r w:rsidR="00F14203" w:rsidRPr="007802DB">
        <w:rPr>
          <w:rFonts w:cs="Arial"/>
          <w:lang w:val="en-US"/>
        </w:rPr>
        <w:lastRenderedPageBreak/>
        <w:t xml:space="preserve">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  </w:t>
      </w:r>
    </w:p>
    <w:p w14:paraId="703D89BE" w14:textId="30776639" w:rsidR="00EB681B"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4" w:history="1">
        <w:r w:rsidRPr="00B27F95">
          <w:rPr>
            <w:rStyle w:val="Hyperlink"/>
            <w:color w:val="auto"/>
            <w:lang w:val="en-GB"/>
          </w:rPr>
          <w:t>gemu-group.com</w:t>
        </w:r>
      </w:hyperlink>
      <w:r w:rsidRPr="00B27F95">
        <w:rPr>
          <w:rFonts w:cs="Arial"/>
          <w:lang w:val="en-GB"/>
        </w:rPr>
        <w:t xml:space="preserve"> </w:t>
      </w:r>
      <w:r w:rsidRPr="00F4545B">
        <w:rPr>
          <w:rFonts w:cs="Arial"/>
          <w:lang w:val="en-GB"/>
        </w:rPr>
        <w:t>for further information.</w:t>
      </w:r>
      <w:bookmarkEnd w:id="0"/>
    </w:p>
    <w:sectPr w:rsidR="00EB681B" w:rsidRP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77777777" w:rsidR="00EB681B" w:rsidRPr="00EB681B" w:rsidRDefault="00EB681B" w:rsidP="00EB681B">
    <w:pPr>
      <w:pStyle w:val="Fuzeile"/>
      <w:spacing w:line="240" w:lineRule="auto"/>
      <w:rPr>
        <w:color w:val="A6A6A6" w:themeColor="background1" w:themeShade="A6"/>
        <w:sz w:val="10"/>
        <w:szCs w:val="10"/>
        <w:lang w:val="en-US"/>
      </w:rPr>
    </w:pPr>
    <w:r w:rsidRPr="00EB681B">
      <w:rPr>
        <w:color w:val="A6A6A6" w:themeColor="background1" w:themeShade="A6"/>
        <w:sz w:val="10"/>
        <w:szCs w:val="10"/>
        <w:lang w:val="en-US"/>
      </w:rPr>
      <w:t>Managing Directors: Gert Müller, Stephan Müller, Matthias Fick</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77777777" w:rsidR="00EB681B" w:rsidRPr="00EB681B" w:rsidRDefault="00EB681B" w:rsidP="00EB681B">
    <w:pPr>
      <w:pStyle w:val="Fuzeile"/>
      <w:spacing w:line="240" w:lineRule="auto"/>
      <w:rPr>
        <w:color w:val="A6A6A6" w:themeColor="background1" w:themeShade="A6"/>
        <w:sz w:val="10"/>
        <w:szCs w:val="10"/>
        <w:lang w:val="en-US"/>
      </w:rPr>
    </w:pPr>
    <w:r w:rsidRPr="00EB681B">
      <w:rPr>
        <w:color w:val="A6A6A6" w:themeColor="background1" w:themeShade="A6"/>
        <w:sz w:val="10"/>
        <w:szCs w:val="10"/>
        <w:lang w:val="en-US"/>
      </w:rPr>
      <w:t>Managing Directors: Gert Müller, Stephan Müller, Matthias Fick</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r w:rsidR="00F93E01">
                            <w:rPr>
                              <w:lang w:val="fr-FR"/>
                            </w:rPr>
                            <w:t>s</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EB681B" w:rsidRDefault="00DF0B01" w:rsidP="003B6A50">
                          <w:pPr>
                            <w:pStyle w:val="Kopfzeile"/>
                            <w:rPr>
                              <w:lang w:val="fr-FR"/>
                            </w:rPr>
                          </w:pPr>
                          <w:r w:rsidRPr="00EB681B">
                            <w:rPr>
                              <w:lang w:val="fr-FR"/>
                            </w:rPr>
                            <w:t xml:space="preserve">E-Mail: </w:t>
                          </w:r>
                          <w:r w:rsidR="00436D72" w:rsidRPr="00EB681B">
                            <w:rPr>
                              <w:lang w:val="fr-FR"/>
                            </w:rPr>
                            <w:t>ivona.meissner</w:t>
                          </w:r>
                          <w:r w:rsidRPr="00EB681B">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r w:rsidR="00F93E01">
                      <w:rPr>
                        <w:lang w:val="fr-FR"/>
                      </w:rPr>
                      <w:t>s</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EB681B" w:rsidRDefault="00DF0B01" w:rsidP="003B6A50">
                    <w:pPr>
                      <w:pStyle w:val="Kopfzeile"/>
                      <w:rPr>
                        <w:lang w:val="fr-FR"/>
                      </w:rPr>
                    </w:pPr>
                    <w:r w:rsidRPr="00EB681B">
                      <w:rPr>
                        <w:lang w:val="fr-FR"/>
                      </w:rPr>
                      <w:t xml:space="preserve">E-Mail: </w:t>
                    </w:r>
                    <w:r w:rsidR="00436D72" w:rsidRPr="00EB681B">
                      <w:rPr>
                        <w:lang w:val="fr-FR"/>
                      </w:rPr>
                      <w:t>ivona.meissner</w:t>
                    </w:r>
                    <w:r w:rsidRPr="00EB681B">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678D1"/>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A1D39"/>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65ED6"/>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242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0C47"/>
    <w:rsid w:val="00EB59E1"/>
    <w:rsid w:val="00EB681B"/>
    <w:rsid w:val="00EC29F4"/>
    <w:rsid w:val="00ED4841"/>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Datum">
    <w:name w:val="Date"/>
    <w:basedOn w:val="Standard"/>
    <w:next w:val="Standard"/>
    <w:link w:val="DatumZchn"/>
    <w:uiPriority w:val="99"/>
    <w:semiHidden/>
    <w:unhideWhenUsed/>
    <w:rsid w:val="002678D1"/>
  </w:style>
  <w:style w:type="character" w:customStyle="1" w:styleId="DatumZchn">
    <w:name w:val="Datum Zchn"/>
    <w:basedOn w:val="Absatz-Standardschriftart"/>
    <w:link w:val="Datum"/>
    <w:uiPriority w:val="99"/>
    <w:semiHidden/>
    <w:rsid w:val="0026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4507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42</cp:revision>
  <cp:lastPrinted>2017-08-14T14:05:00Z</cp:lastPrinted>
  <dcterms:created xsi:type="dcterms:W3CDTF">2020-07-20T09:17:00Z</dcterms:created>
  <dcterms:modified xsi:type="dcterms:W3CDTF">2025-10-23T11:31:00Z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